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73" w:rsidRPr="004760B6" w:rsidRDefault="00F04FB7">
      <w:pPr>
        <w:keepNext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V</w:t>
      </w:r>
      <w:r w:rsidR="00285173" w:rsidRPr="004760B6">
        <w:rPr>
          <w:b/>
          <w:bCs/>
          <w:caps/>
          <w:sz w:val="32"/>
          <w:szCs w:val="32"/>
        </w:rPr>
        <w:t xml:space="preserve">ěstník </w:t>
      </w:r>
      <w:r w:rsidR="00CC2764">
        <w:rPr>
          <w:b/>
          <w:bCs/>
          <w:caps/>
          <w:sz w:val="32"/>
          <w:szCs w:val="32"/>
        </w:rPr>
        <w:t>7</w:t>
      </w:r>
      <w:r w:rsidR="00285173" w:rsidRPr="004760B6">
        <w:rPr>
          <w:b/>
          <w:bCs/>
          <w:caps/>
          <w:sz w:val="32"/>
          <w:szCs w:val="32"/>
        </w:rPr>
        <w:t>/201</w:t>
      </w:r>
      <w:r w:rsidR="00770670">
        <w:rPr>
          <w:b/>
          <w:bCs/>
          <w:caps/>
          <w:sz w:val="32"/>
          <w:szCs w:val="32"/>
        </w:rPr>
        <w:t>7</w:t>
      </w:r>
    </w:p>
    <w:p w:rsidR="00285173" w:rsidRDefault="00285173">
      <w:pPr>
        <w:rPr>
          <w:caps/>
        </w:rPr>
      </w:pPr>
    </w:p>
    <w:p w:rsidR="00285173" w:rsidRDefault="00285173">
      <w:pPr>
        <w:keepNext/>
        <w:rPr>
          <w:b/>
          <w:bCs/>
          <w:caps/>
        </w:rPr>
      </w:pPr>
      <w:r>
        <w:rPr>
          <w:b/>
          <w:bCs/>
          <w:caps/>
        </w:rPr>
        <w:t>vydané ČSN</w:t>
      </w:r>
    </w:p>
    <w:tbl>
      <w:tblPr>
        <w:tblW w:w="13892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2126"/>
        <w:gridCol w:w="6804"/>
        <w:gridCol w:w="842"/>
        <w:gridCol w:w="3269"/>
      </w:tblGrid>
      <w:tr w:rsidR="00285173" w:rsidTr="001B0765">
        <w:trPr>
          <w:trHeight w:val="2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173" w:rsidRDefault="0028517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znak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173" w:rsidRDefault="0028517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identif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173" w:rsidRDefault="0028517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173" w:rsidRDefault="0028517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účinnost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73" w:rsidRDefault="00285173" w:rsidP="00D92B42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ruší</w:t>
            </w:r>
          </w:p>
        </w:tc>
      </w:tr>
      <w:tr w:rsidR="00AD1A8B" w:rsidRPr="00D00EFD" w:rsidTr="001B0765">
        <w:trPr>
          <w:trHeight w:val="2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A8B" w:rsidRPr="00D00EFD" w:rsidRDefault="00CC2764" w:rsidP="008E7368">
            <w:pPr>
              <w:snapToGrid w:val="0"/>
              <w:rPr>
                <w:rFonts w:eastAsia="TimesNewRomanPSMT"/>
                <w:sz w:val="20"/>
                <w:szCs w:val="20"/>
              </w:rPr>
            </w:pPr>
            <w:r w:rsidRPr="00D00EFD">
              <w:rPr>
                <w:rFonts w:eastAsia="TimesNewRomanPSMT"/>
                <w:sz w:val="20"/>
                <w:szCs w:val="20"/>
                <w:lang w:bidi="ar-SA"/>
              </w:rPr>
              <w:t>05 0313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A8B" w:rsidRPr="00D00EFD" w:rsidRDefault="00CC2764" w:rsidP="00390277">
            <w:pPr>
              <w:rPr>
                <w:rFonts w:eastAsia="TimesNewRomanPS-BoldMT"/>
                <w:sz w:val="20"/>
                <w:szCs w:val="20"/>
              </w:rPr>
            </w:pPr>
            <w:r w:rsidRPr="00D00EFD">
              <w:rPr>
                <w:rFonts w:eastAsia="TimesNewRomanPS-BoldMT"/>
                <w:bCs/>
                <w:sz w:val="20"/>
                <w:szCs w:val="20"/>
                <w:lang w:bidi="ar-SA"/>
              </w:rPr>
              <w:t>ČSN EN ISO 15614-8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764" w:rsidRPr="00D00EFD" w:rsidRDefault="00CC2764" w:rsidP="00CC2764">
            <w:pPr>
              <w:widowControl/>
              <w:suppressAutoHyphens w:val="0"/>
              <w:autoSpaceDN w:val="0"/>
              <w:adjustRightInd w:val="0"/>
              <w:rPr>
                <w:rFonts w:eastAsia="TimesNewRomanPS-BoldMT"/>
                <w:bCs/>
                <w:sz w:val="20"/>
                <w:szCs w:val="20"/>
                <w:lang w:bidi="ar-SA"/>
              </w:rPr>
            </w:pPr>
            <w:r w:rsidRPr="00D00EFD">
              <w:rPr>
                <w:rFonts w:eastAsia="TimesNewRomanPS-BoldMT"/>
                <w:bCs/>
                <w:sz w:val="20"/>
                <w:szCs w:val="20"/>
                <w:lang w:bidi="ar-SA"/>
              </w:rPr>
              <w:t>Stanovení a kvalifikace postupů svařování kovových materiálů - Zkouška</w:t>
            </w:r>
          </w:p>
          <w:p w:rsidR="00AD1A8B" w:rsidRPr="00D00EFD" w:rsidRDefault="00CC2764" w:rsidP="00D00EFD">
            <w:pPr>
              <w:widowControl/>
              <w:suppressAutoHyphens w:val="0"/>
              <w:autoSpaceDN w:val="0"/>
              <w:adjustRightInd w:val="0"/>
              <w:rPr>
                <w:rFonts w:eastAsia="TimesNewRomanPSMT"/>
                <w:sz w:val="20"/>
                <w:szCs w:val="20"/>
                <w:lang w:bidi="ar-SA"/>
              </w:rPr>
            </w:pPr>
            <w:r w:rsidRPr="00D00EFD">
              <w:rPr>
                <w:rFonts w:eastAsia="TimesNewRomanPS-BoldMT"/>
                <w:bCs/>
                <w:sz w:val="20"/>
                <w:szCs w:val="20"/>
                <w:lang w:bidi="ar-SA"/>
              </w:rPr>
              <w:t>postupu svařování - Část 8: Svařování spojů trubek s trubkovnicí</w:t>
            </w:r>
            <w:r w:rsidRPr="00D00EFD">
              <w:rPr>
                <w:rFonts w:eastAsia="TimesNewRomanPSMT"/>
                <w:sz w:val="20"/>
                <w:szCs w:val="20"/>
                <w:lang w:bidi="ar-SA"/>
              </w:rPr>
              <w:t>;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A8B" w:rsidRPr="00D00EFD" w:rsidRDefault="00CC2764" w:rsidP="0096099F">
            <w:pPr>
              <w:jc w:val="center"/>
              <w:rPr>
                <w:sz w:val="20"/>
                <w:szCs w:val="20"/>
              </w:rPr>
            </w:pPr>
            <w:r w:rsidRPr="00D00EFD">
              <w:rPr>
                <w:rFonts w:eastAsia="TimesNewRomanPSMT"/>
                <w:sz w:val="20"/>
                <w:szCs w:val="20"/>
                <w:lang w:bidi="ar-SA"/>
              </w:rPr>
              <w:t>2017-08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5E" w:rsidRPr="00D00EFD" w:rsidRDefault="00CC2764" w:rsidP="0045165E">
            <w:pPr>
              <w:snapToGrid w:val="0"/>
              <w:rPr>
                <w:rFonts w:eastAsia="TimesNewRomanPSMT"/>
                <w:i/>
                <w:sz w:val="20"/>
                <w:szCs w:val="20"/>
              </w:rPr>
            </w:pPr>
            <w:r w:rsidRPr="00D00EFD">
              <w:rPr>
                <w:rFonts w:eastAsia="TimesNewRomanPSMT"/>
                <w:i/>
                <w:sz w:val="20"/>
                <w:szCs w:val="20"/>
                <w:lang w:bidi="ar-SA"/>
              </w:rPr>
              <w:t>ČSN EN ISO 15614-8 (05 0313) Říjen 2016</w:t>
            </w:r>
          </w:p>
        </w:tc>
      </w:tr>
      <w:tr w:rsidR="00AD1A8B" w:rsidRPr="00D00EFD" w:rsidTr="001B0765">
        <w:trPr>
          <w:trHeight w:val="2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A8B" w:rsidRPr="00D00EFD" w:rsidRDefault="00CC2764" w:rsidP="00CC0361">
            <w:pPr>
              <w:snapToGrid w:val="0"/>
              <w:rPr>
                <w:rFonts w:eastAsia="TimesNewRomanPSMT"/>
                <w:sz w:val="20"/>
                <w:szCs w:val="20"/>
                <w:lang w:eastAsia="ar-SA" w:bidi="ar-SA"/>
              </w:rPr>
            </w:pPr>
            <w:r w:rsidRPr="00D00EFD">
              <w:rPr>
                <w:rFonts w:eastAsia="TimesNewRomanPSMT"/>
                <w:sz w:val="20"/>
                <w:szCs w:val="20"/>
                <w:lang w:bidi="ar-SA"/>
              </w:rPr>
              <w:t>05 0327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A8B" w:rsidRPr="00D00EFD" w:rsidRDefault="00CC2764" w:rsidP="00390277">
            <w:pPr>
              <w:rPr>
                <w:rFonts w:eastAsia="TimesNewRomanPS-BoldMT"/>
                <w:sz w:val="20"/>
                <w:szCs w:val="20"/>
              </w:rPr>
            </w:pPr>
            <w:r w:rsidRPr="00D00EFD">
              <w:rPr>
                <w:rFonts w:eastAsia="TimesNewRomanPS-BoldMT"/>
                <w:bCs/>
                <w:sz w:val="20"/>
                <w:szCs w:val="20"/>
                <w:lang w:bidi="ar-SA"/>
              </w:rPr>
              <w:t>ČSN EN ISO 11970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A8B" w:rsidRPr="00D00EFD" w:rsidRDefault="00CC2764" w:rsidP="00D70598">
            <w:pPr>
              <w:widowControl/>
              <w:suppressAutoHyphens w:val="0"/>
              <w:autoSpaceDN w:val="0"/>
              <w:adjustRightInd w:val="0"/>
              <w:rPr>
                <w:rFonts w:eastAsia="TimesNewRomanPSMT"/>
                <w:sz w:val="20"/>
                <w:szCs w:val="20"/>
                <w:lang w:bidi="ar-SA"/>
              </w:rPr>
            </w:pPr>
            <w:r w:rsidRPr="00D00EFD">
              <w:rPr>
                <w:rFonts w:eastAsia="TimesNewRomanPS-BoldMT"/>
                <w:bCs/>
                <w:sz w:val="20"/>
                <w:szCs w:val="20"/>
                <w:lang w:bidi="ar-SA"/>
              </w:rPr>
              <w:t>Stanovení a kvalifikace postupů svařování pro výrobní svařování odlitků z oceli</w:t>
            </w:r>
            <w:r w:rsidRPr="00D00EFD">
              <w:rPr>
                <w:rFonts w:eastAsia="TimesNewRomanPSMT"/>
                <w:sz w:val="20"/>
                <w:szCs w:val="20"/>
                <w:lang w:bidi="ar-SA"/>
              </w:rPr>
              <w:t>;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A8B" w:rsidRPr="00D00EFD" w:rsidRDefault="00125DC0" w:rsidP="009609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0EFD">
              <w:rPr>
                <w:rFonts w:eastAsia="TimesNewRomanPSMT"/>
                <w:sz w:val="20"/>
                <w:szCs w:val="20"/>
                <w:lang w:bidi="ar-SA"/>
              </w:rPr>
              <w:t>2017-08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8B" w:rsidRPr="00D00EFD" w:rsidRDefault="00CC2764">
            <w:pPr>
              <w:snapToGrid w:val="0"/>
              <w:rPr>
                <w:rFonts w:eastAsia="TimesNewRomanPSMT"/>
                <w:i/>
                <w:iCs/>
                <w:sz w:val="20"/>
                <w:szCs w:val="20"/>
              </w:rPr>
            </w:pPr>
            <w:r w:rsidRPr="00D00EFD">
              <w:rPr>
                <w:rFonts w:eastAsia="TimesNewRomanPSMT"/>
                <w:i/>
                <w:sz w:val="20"/>
                <w:szCs w:val="20"/>
                <w:lang w:bidi="ar-SA"/>
              </w:rPr>
              <w:t>ČSN EN ISO 11970 (05 0327) Říjen 2016</w:t>
            </w:r>
          </w:p>
        </w:tc>
      </w:tr>
      <w:tr w:rsidR="00AD1A8B" w:rsidRPr="00D00EFD" w:rsidTr="001B0765">
        <w:trPr>
          <w:trHeight w:val="2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A8B" w:rsidRPr="00D00EFD" w:rsidRDefault="00CC2764" w:rsidP="00CC0361">
            <w:pPr>
              <w:snapToGrid w:val="0"/>
              <w:rPr>
                <w:rFonts w:eastAsia="TimesNewRomanPSMT"/>
                <w:sz w:val="20"/>
                <w:szCs w:val="20"/>
                <w:highlight w:val="lightGray"/>
                <w:lang w:eastAsia="en-US"/>
              </w:rPr>
            </w:pPr>
            <w:r w:rsidRPr="00D00EFD">
              <w:rPr>
                <w:rFonts w:eastAsia="TimesNewRomanPSMT"/>
                <w:sz w:val="20"/>
                <w:szCs w:val="20"/>
                <w:lang w:bidi="ar-SA"/>
              </w:rPr>
              <w:t>38 9603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A8B" w:rsidRPr="00D00EFD" w:rsidRDefault="00CC2764" w:rsidP="00390277">
            <w:pPr>
              <w:rPr>
                <w:rFonts w:eastAsia="TimesNewRomanPS-BoldMT"/>
                <w:sz w:val="20"/>
                <w:szCs w:val="20"/>
                <w:highlight w:val="lightGray"/>
              </w:rPr>
            </w:pPr>
            <w:r w:rsidRPr="00D00EFD">
              <w:rPr>
                <w:rFonts w:eastAsia="TimesNewRomanPS-BoldMT"/>
                <w:bCs/>
                <w:sz w:val="20"/>
                <w:szCs w:val="20"/>
                <w:lang w:bidi="ar-SA"/>
              </w:rPr>
              <w:t xml:space="preserve">ČSN EN 1839 </w:t>
            </w:r>
            <w:proofErr w:type="spellStart"/>
            <w:r w:rsidRPr="00D00EFD">
              <w:rPr>
                <w:rFonts w:eastAsia="TimesNewRomanPS-BoldMT"/>
                <w:bCs/>
                <w:sz w:val="20"/>
                <w:szCs w:val="20"/>
                <w:lang w:bidi="ar-SA"/>
              </w:rPr>
              <w:t>ed</w:t>
            </w:r>
            <w:proofErr w:type="spellEnd"/>
            <w:r w:rsidRPr="00D00EFD">
              <w:rPr>
                <w:rFonts w:eastAsia="TimesNewRomanPS-BoldMT"/>
                <w:bCs/>
                <w:sz w:val="20"/>
                <w:szCs w:val="20"/>
                <w:lang w:bidi="ar-SA"/>
              </w:rPr>
              <w:t>. 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A8B" w:rsidRPr="00D00EFD" w:rsidRDefault="00CC2764" w:rsidP="00CC2764">
            <w:pPr>
              <w:widowControl/>
              <w:suppressAutoHyphens w:val="0"/>
              <w:autoSpaceDN w:val="0"/>
              <w:adjustRightInd w:val="0"/>
              <w:rPr>
                <w:rFonts w:eastAsia="TimesNewRomanPS-BoldMT"/>
                <w:bCs/>
                <w:sz w:val="20"/>
                <w:szCs w:val="20"/>
                <w:lang w:bidi="ar-SA"/>
              </w:rPr>
            </w:pPr>
            <w:r w:rsidRPr="00D00EFD">
              <w:rPr>
                <w:rFonts w:eastAsia="TimesNewRomanPS-BoldMT"/>
                <w:bCs/>
                <w:sz w:val="20"/>
                <w:szCs w:val="20"/>
                <w:lang w:bidi="ar-SA"/>
              </w:rPr>
              <w:t>Stanovení mezí výbušnosti a mezní koncentrace kyslíku (</w:t>
            </w:r>
            <w:proofErr w:type="spellStart"/>
            <w:r w:rsidRPr="00D00EFD">
              <w:rPr>
                <w:rFonts w:eastAsia="TimesNewRomanPS-BoldMT"/>
                <w:bCs/>
                <w:sz w:val="20"/>
                <w:szCs w:val="20"/>
                <w:lang w:bidi="ar-SA"/>
              </w:rPr>
              <w:t>LOC</w:t>
            </w:r>
            <w:proofErr w:type="spellEnd"/>
            <w:r w:rsidRPr="00D00EFD">
              <w:rPr>
                <w:rFonts w:eastAsia="TimesNewRomanPS-BoldMT"/>
                <w:bCs/>
                <w:sz w:val="20"/>
                <w:szCs w:val="20"/>
                <w:lang w:bidi="ar-SA"/>
              </w:rPr>
              <w:t>) pro hořlavé</w:t>
            </w:r>
            <w:r w:rsidR="00D00EFD" w:rsidRPr="00D00EFD">
              <w:rPr>
                <w:rFonts w:eastAsia="TimesNewRomanPS-BoldMT"/>
                <w:bCs/>
                <w:sz w:val="20"/>
                <w:szCs w:val="20"/>
                <w:lang w:bidi="ar-SA"/>
              </w:rPr>
              <w:t xml:space="preserve"> plyny </w:t>
            </w:r>
            <w:r w:rsidRPr="00D00EFD">
              <w:rPr>
                <w:rFonts w:eastAsia="TimesNewRomanPS-BoldMT"/>
                <w:bCs/>
                <w:sz w:val="20"/>
                <w:szCs w:val="20"/>
                <w:lang w:bidi="ar-SA"/>
              </w:rPr>
              <w:t>a páry</w:t>
            </w:r>
            <w:r w:rsidRPr="00D00EFD">
              <w:rPr>
                <w:rFonts w:eastAsia="TimesNewRomanPSMT"/>
                <w:sz w:val="20"/>
                <w:szCs w:val="20"/>
                <w:lang w:bidi="ar-SA"/>
              </w:rPr>
              <w:t>;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A8B" w:rsidRPr="00D00EFD" w:rsidRDefault="00125DC0" w:rsidP="0096099F">
            <w:pPr>
              <w:jc w:val="center"/>
              <w:rPr>
                <w:bCs/>
                <w:sz w:val="20"/>
                <w:szCs w:val="20"/>
              </w:rPr>
            </w:pPr>
            <w:r w:rsidRPr="00D00EFD">
              <w:rPr>
                <w:rFonts w:eastAsia="TimesNewRomanPSMT"/>
                <w:sz w:val="20"/>
                <w:szCs w:val="20"/>
                <w:lang w:bidi="ar-SA"/>
              </w:rPr>
              <w:t>2017-08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8B" w:rsidRPr="00D00EFD" w:rsidRDefault="00CC2764" w:rsidP="00636027">
            <w:pPr>
              <w:snapToGrid w:val="0"/>
              <w:jc w:val="both"/>
              <w:rPr>
                <w:rFonts w:eastAsia="TimesNewRomanPSMT"/>
                <w:i/>
                <w:sz w:val="20"/>
                <w:szCs w:val="20"/>
                <w:lang w:eastAsia="en-US"/>
              </w:rPr>
            </w:pPr>
            <w:r w:rsidRPr="00D00EFD">
              <w:rPr>
                <w:rFonts w:eastAsia="TimesNewRomanPSMT"/>
                <w:i/>
                <w:sz w:val="20"/>
                <w:szCs w:val="20"/>
                <w:lang w:bidi="ar-SA"/>
              </w:rPr>
              <w:t>ČSN EN 1839 (38 9603) Březen 2013 ČSN EN 14756 (38 9668) Červenec 2007</w:t>
            </w:r>
          </w:p>
        </w:tc>
      </w:tr>
    </w:tbl>
    <w:p w:rsidR="00901A3D" w:rsidRDefault="00901A3D" w:rsidP="00901A3D">
      <w:pPr>
        <w:widowControl/>
        <w:suppressAutoHyphens w:val="0"/>
        <w:autoSpaceDN w:val="0"/>
        <w:adjustRightInd w:val="0"/>
        <w:rPr>
          <w:rFonts w:eastAsia="TimesNewRomanPSMT"/>
          <w:sz w:val="20"/>
          <w:szCs w:val="20"/>
          <w:lang w:bidi="ar-SA"/>
        </w:rPr>
      </w:pPr>
    </w:p>
    <w:p w:rsidR="00E7064F" w:rsidRPr="00390277" w:rsidRDefault="00901A3D" w:rsidP="00E7064F">
      <w:pPr>
        <w:keepNext/>
        <w:rPr>
          <w:b/>
          <w:bCs/>
          <w:caps/>
        </w:rPr>
      </w:pPr>
      <w:r w:rsidRPr="00390277">
        <w:rPr>
          <w:b/>
          <w:bCs/>
          <w:caps/>
        </w:rPr>
        <w:t>Změny</w:t>
      </w:r>
      <w:r w:rsidR="00E7064F" w:rsidRPr="00390277">
        <w:rPr>
          <w:b/>
          <w:bCs/>
          <w:caps/>
        </w:rPr>
        <w:t xml:space="preserve"> </w:t>
      </w:r>
      <w:r w:rsidR="00390277" w:rsidRPr="00390277">
        <w:rPr>
          <w:b/>
          <w:bCs/>
          <w:caps/>
        </w:rPr>
        <w:t>ČSN</w:t>
      </w:r>
    </w:p>
    <w:tbl>
      <w:tblPr>
        <w:tblW w:w="13931" w:type="dxa"/>
        <w:tblInd w:w="-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90"/>
        <w:gridCol w:w="2126"/>
        <w:gridCol w:w="6795"/>
        <w:gridCol w:w="851"/>
        <w:gridCol w:w="3269"/>
      </w:tblGrid>
      <w:tr w:rsidR="00E7064F" w:rsidRPr="001A4BFC" w:rsidTr="006C76AA">
        <w:trPr>
          <w:trHeight w:val="362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4F" w:rsidRPr="001A4BFC" w:rsidRDefault="00E7064F" w:rsidP="0063602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4BFC">
              <w:rPr>
                <w:b/>
                <w:bCs/>
                <w:color w:val="000000"/>
                <w:sz w:val="20"/>
                <w:szCs w:val="20"/>
              </w:rPr>
              <w:t>znak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4F" w:rsidRPr="001A4BFC" w:rsidRDefault="00E7064F" w:rsidP="0063602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A4BFC">
              <w:rPr>
                <w:b/>
                <w:bCs/>
                <w:color w:val="000000"/>
                <w:sz w:val="20"/>
                <w:szCs w:val="20"/>
              </w:rPr>
              <w:t>identif</w:t>
            </w:r>
            <w:proofErr w:type="spellEnd"/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4F" w:rsidRPr="001A4BFC" w:rsidRDefault="00E7064F" w:rsidP="0063602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4BFC">
              <w:rPr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4F" w:rsidRPr="001A4BFC" w:rsidRDefault="00E7064F" w:rsidP="0063602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4BFC">
              <w:rPr>
                <w:b/>
                <w:bCs/>
                <w:color w:val="000000"/>
                <w:sz w:val="20"/>
                <w:szCs w:val="20"/>
              </w:rPr>
              <w:t>účinnost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4F" w:rsidRPr="001A4BFC" w:rsidRDefault="00901A3D" w:rsidP="00D92B42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4BFC">
              <w:rPr>
                <w:b/>
                <w:bCs/>
                <w:color w:val="000000"/>
                <w:sz w:val="20"/>
                <w:szCs w:val="20"/>
              </w:rPr>
              <w:t>změna</w:t>
            </w:r>
          </w:p>
        </w:tc>
      </w:tr>
      <w:tr w:rsidR="009D3392" w:rsidRPr="00D00EFD" w:rsidTr="0050670E">
        <w:trPr>
          <w:trHeight w:val="30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392" w:rsidRPr="00D00EFD" w:rsidRDefault="00CC2764" w:rsidP="00CC0361">
            <w:pPr>
              <w:suppressAutoHyphens w:val="0"/>
              <w:jc w:val="both"/>
              <w:rPr>
                <w:rFonts w:eastAsia="TimesNewRomanPSMT"/>
                <w:sz w:val="20"/>
                <w:szCs w:val="20"/>
              </w:rPr>
            </w:pPr>
            <w:r w:rsidRPr="00D00EFD">
              <w:rPr>
                <w:rFonts w:eastAsia="TimesNewRomanPSMT"/>
                <w:sz w:val="20"/>
                <w:szCs w:val="20"/>
                <w:lang w:bidi="ar-SA"/>
              </w:rPr>
              <w:t>38 9603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392" w:rsidRPr="00D00EFD" w:rsidRDefault="00CC2764" w:rsidP="005471C3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D00EFD">
              <w:rPr>
                <w:rFonts w:eastAsia="TimesNewRomanPS-BoldMT"/>
                <w:bCs/>
                <w:sz w:val="20"/>
                <w:szCs w:val="20"/>
                <w:lang w:bidi="ar-SA"/>
              </w:rPr>
              <w:t>ČSN EN 1839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F9C" w:rsidRPr="00D00EFD" w:rsidRDefault="00CC2764" w:rsidP="00473F33">
            <w:pPr>
              <w:snapToGrid w:val="0"/>
              <w:rPr>
                <w:rFonts w:eastAsia="TimesNewRomanPS-BoldMT"/>
                <w:bCs/>
                <w:sz w:val="20"/>
                <w:szCs w:val="20"/>
                <w:lang w:bidi="ar-SA"/>
              </w:rPr>
            </w:pPr>
            <w:r w:rsidRPr="00D00EFD">
              <w:rPr>
                <w:rFonts w:eastAsia="TimesNewRomanPS-BoldMT"/>
                <w:bCs/>
                <w:sz w:val="20"/>
                <w:szCs w:val="20"/>
                <w:lang w:bidi="ar-SA"/>
              </w:rPr>
              <w:t>Stanovení mezí výbušnosti plynů a par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392" w:rsidRPr="00D00EFD" w:rsidRDefault="00CC2764" w:rsidP="0063602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00EFD">
              <w:rPr>
                <w:bCs/>
                <w:color w:val="000000"/>
                <w:sz w:val="20"/>
                <w:szCs w:val="20"/>
              </w:rPr>
              <w:t>2013-04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2" w:rsidRPr="00D00EFD" w:rsidRDefault="00CC2764" w:rsidP="00C236D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0EFD">
              <w:rPr>
                <w:rFonts w:eastAsia="TimesNewRomanPS-BoldMT"/>
                <w:b/>
                <w:bCs/>
                <w:sz w:val="20"/>
                <w:szCs w:val="20"/>
                <w:lang w:bidi="ar-SA"/>
              </w:rPr>
              <w:t>Z1</w:t>
            </w:r>
            <w:proofErr w:type="spellEnd"/>
            <w:r w:rsidRPr="00D00EFD">
              <w:rPr>
                <w:rFonts w:eastAsia="TimesNewRomanPS-BoldMT"/>
                <w:b/>
                <w:bCs/>
                <w:sz w:val="20"/>
                <w:szCs w:val="20"/>
                <w:lang w:bidi="ar-SA"/>
              </w:rPr>
              <w:t xml:space="preserve"> 2017-07</w:t>
            </w:r>
          </w:p>
        </w:tc>
      </w:tr>
      <w:tr w:rsidR="00A87138" w:rsidRPr="00D00EFD" w:rsidTr="0050670E">
        <w:trPr>
          <w:trHeight w:val="30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38" w:rsidRPr="00D00EFD" w:rsidRDefault="00CC2764" w:rsidP="00CC0361">
            <w:pPr>
              <w:suppressAutoHyphens w:val="0"/>
              <w:jc w:val="both"/>
              <w:rPr>
                <w:rFonts w:eastAsia="TimesNewRomanPSMT"/>
                <w:sz w:val="20"/>
                <w:szCs w:val="20"/>
              </w:rPr>
            </w:pPr>
            <w:r w:rsidRPr="00D00EFD">
              <w:rPr>
                <w:rFonts w:eastAsia="TimesNewRomanPSMT"/>
                <w:sz w:val="20"/>
                <w:szCs w:val="20"/>
                <w:lang w:bidi="ar-SA"/>
              </w:rPr>
              <w:t>38 9700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38" w:rsidRPr="00D00EFD" w:rsidRDefault="00CC2764" w:rsidP="005471C3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D00EFD">
              <w:rPr>
                <w:rFonts w:eastAsia="TimesNewRomanPS-BoldMT"/>
                <w:bCs/>
                <w:sz w:val="20"/>
                <w:szCs w:val="20"/>
                <w:lang w:bidi="ar-SA"/>
              </w:rPr>
              <w:t>ČSN EN 12101-2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764" w:rsidRPr="00D00EFD" w:rsidRDefault="00CC2764" w:rsidP="00CC2764">
            <w:pPr>
              <w:widowControl/>
              <w:suppressAutoHyphens w:val="0"/>
              <w:autoSpaceDN w:val="0"/>
              <w:adjustRightInd w:val="0"/>
              <w:rPr>
                <w:rFonts w:eastAsia="TimesNewRomanPS-BoldMT"/>
                <w:bCs/>
                <w:sz w:val="20"/>
                <w:szCs w:val="20"/>
                <w:lang w:bidi="ar-SA"/>
              </w:rPr>
            </w:pPr>
            <w:r w:rsidRPr="00D00EFD">
              <w:rPr>
                <w:rFonts w:eastAsia="TimesNewRomanPS-BoldMT"/>
                <w:bCs/>
                <w:sz w:val="20"/>
                <w:szCs w:val="20"/>
                <w:lang w:bidi="ar-SA"/>
              </w:rPr>
              <w:t>Zařízení pro usměrňování pohybu kouře a tepla - Část 2: Technické podmínky</w:t>
            </w:r>
          </w:p>
          <w:p w:rsidR="00A87138" w:rsidRPr="00D00EFD" w:rsidRDefault="00CC2764" w:rsidP="00CC2764">
            <w:pPr>
              <w:snapToGrid w:val="0"/>
              <w:rPr>
                <w:rFonts w:eastAsia="TimesNewRomanPS-BoldMT"/>
                <w:bCs/>
                <w:sz w:val="20"/>
                <w:szCs w:val="20"/>
                <w:lang w:bidi="ar-SA"/>
              </w:rPr>
            </w:pPr>
            <w:r w:rsidRPr="00D00EFD">
              <w:rPr>
                <w:rFonts w:eastAsia="TimesNewRomanPS-BoldMT"/>
                <w:bCs/>
                <w:sz w:val="20"/>
                <w:szCs w:val="20"/>
                <w:lang w:bidi="ar-SA"/>
              </w:rPr>
              <w:t>pro odtahové zařízení pro přirozený odvod kouře a tepla</w:t>
            </w:r>
            <w:r w:rsidRPr="00D00EFD">
              <w:rPr>
                <w:rFonts w:eastAsia="TimesNewRomanPSMT"/>
                <w:sz w:val="20"/>
                <w:szCs w:val="20"/>
                <w:lang w:bidi="ar-SA"/>
              </w:rPr>
              <w:t>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38" w:rsidRPr="00D00EFD" w:rsidRDefault="00125DC0" w:rsidP="0063602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00EFD">
              <w:rPr>
                <w:rFonts w:eastAsia="TimesNewRomanPSMT"/>
                <w:sz w:val="20"/>
                <w:szCs w:val="20"/>
                <w:lang w:bidi="ar-SA"/>
              </w:rPr>
              <w:t>2004 -05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38" w:rsidRPr="00D00EFD" w:rsidRDefault="00125DC0" w:rsidP="00C236D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0EFD">
              <w:rPr>
                <w:rFonts w:eastAsia="TimesNewRomanPS-BoldMT"/>
                <w:b/>
                <w:bCs/>
                <w:sz w:val="20"/>
                <w:szCs w:val="20"/>
                <w:lang w:bidi="ar-SA"/>
              </w:rPr>
              <w:t>Z1</w:t>
            </w:r>
            <w:proofErr w:type="spellEnd"/>
            <w:r w:rsidRPr="00D00EFD">
              <w:rPr>
                <w:rFonts w:eastAsia="TimesNewRomanPS-BoldMT"/>
                <w:b/>
                <w:bCs/>
                <w:sz w:val="20"/>
                <w:szCs w:val="20"/>
                <w:lang w:bidi="ar-SA"/>
              </w:rPr>
              <w:t xml:space="preserve"> 2017-07</w:t>
            </w:r>
          </w:p>
        </w:tc>
      </w:tr>
    </w:tbl>
    <w:p w:rsidR="00CC2764" w:rsidRDefault="00CC2764" w:rsidP="00CC2764">
      <w:pPr>
        <w:widowControl/>
        <w:suppressAutoHyphens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bidi="ar-SA"/>
        </w:rPr>
      </w:pPr>
      <w:r>
        <w:rPr>
          <w:rFonts w:ascii="TimesNewRomanPS-BoldMT" w:eastAsia="TimesNewRomanPS-BoldMT" w:cs="TimesNewRomanPS-BoldMT"/>
          <w:b/>
          <w:bCs/>
          <w:sz w:val="18"/>
          <w:szCs w:val="18"/>
          <w:lang w:bidi="ar-SA"/>
        </w:rPr>
        <w:t xml:space="preserve"> </w:t>
      </w:r>
    </w:p>
    <w:p w:rsidR="00B43688" w:rsidRPr="00390277" w:rsidRDefault="00B43688" w:rsidP="00B43688">
      <w:pPr>
        <w:keepNext/>
        <w:rPr>
          <w:b/>
          <w:bCs/>
          <w:caps/>
        </w:rPr>
      </w:pPr>
      <w:r w:rsidRPr="00390277">
        <w:rPr>
          <w:b/>
          <w:bCs/>
          <w:caps/>
        </w:rPr>
        <w:t>ČSN v anglickém znění</w:t>
      </w:r>
    </w:p>
    <w:tbl>
      <w:tblPr>
        <w:tblW w:w="13931" w:type="dxa"/>
        <w:tblInd w:w="-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90"/>
        <w:gridCol w:w="2126"/>
        <w:gridCol w:w="6795"/>
        <w:gridCol w:w="851"/>
        <w:gridCol w:w="3269"/>
      </w:tblGrid>
      <w:tr w:rsidR="00E7064F" w:rsidRPr="001A4BFC" w:rsidTr="00100743">
        <w:trPr>
          <w:trHeight w:val="293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4F" w:rsidRPr="001A4BFC" w:rsidRDefault="00E7064F" w:rsidP="0063602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4BFC">
              <w:rPr>
                <w:b/>
                <w:bCs/>
                <w:color w:val="000000"/>
                <w:sz w:val="20"/>
                <w:szCs w:val="20"/>
              </w:rPr>
              <w:t>znak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4F" w:rsidRPr="001A4BFC" w:rsidRDefault="00E7064F" w:rsidP="0063602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A4BFC">
              <w:rPr>
                <w:b/>
                <w:bCs/>
                <w:color w:val="000000"/>
                <w:sz w:val="20"/>
                <w:szCs w:val="20"/>
              </w:rPr>
              <w:t>identif</w:t>
            </w:r>
            <w:proofErr w:type="spellEnd"/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4F" w:rsidRPr="001A4BFC" w:rsidRDefault="00E7064F" w:rsidP="0063602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4BFC">
              <w:rPr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4F" w:rsidRPr="001A4BFC" w:rsidRDefault="00E7064F" w:rsidP="0063602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4BFC">
              <w:rPr>
                <w:b/>
                <w:bCs/>
                <w:color w:val="000000"/>
                <w:sz w:val="20"/>
                <w:szCs w:val="20"/>
              </w:rPr>
              <w:t>účinnost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4F" w:rsidRPr="001A4BFC" w:rsidRDefault="00E7064F" w:rsidP="00D92B42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4BFC">
              <w:rPr>
                <w:b/>
                <w:bCs/>
                <w:color w:val="000000"/>
                <w:sz w:val="20"/>
                <w:szCs w:val="20"/>
              </w:rPr>
              <w:t>ruší</w:t>
            </w:r>
          </w:p>
        </w:tc>
      </w:tr>
      <w:tr w:rsidR="00E7064F" w:rsidRPr="001A4BFC" w:rsidTr="00100743">
        <w:trPr>
          <w:trHeight w:val="293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4F" w:rsidRPr="00D00EFD" w:rsidRDefault="00125DC0" w:rsidP="00CC0361">
            <w:pPr>
              <w:suppressAutoHyphens w:val="0"/>
              <w:jc w:val="both"/>
              <w:rPr>
                <w:rFonts w:eastAsia="TimesNewRomanPSMT"/>
                <w:sz w:val="20"/>
                <w:szCs w:val="20"/>
              </w:rPr>
            </w:pPr>
            <w:r w:rsidRPr="00D00EFD">
              <w:rPr>
                <w:rFonts w:eastAsia="TimesNewRomanPSMT"/>
                <w:sz w:val="20"/>
                <w:szCs w:val="20"/>
                <w:lang w:bidi="ar-SA"/>
              </w:rPr>
              <w:t>01 5005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4F" w:rsidRPr="00D00EFD" w:rsidRDefault="00125DC0" w:rsidP="009D3392">
            <w:pPr>
              <w:snapToGrid w:val="0"/>
              <w:jc w:val="both"/>
              <w:rPr>
                <w:rFonts w:eastAsia="TimesNewRomanPS-BoldMT"/>
                <w:bCs/>
                <w:sz w:val="20"/>
                <w:szCs w:val="20"/>
              </w:rPr>
            </w:pPr>
            <w:r w:rsidRPr="00D00EFD">
              <w:rPr>
                <w:rFonts w:eastAsia="TimesNewRomanPS-BoldMT"/>
                <w:bCs/>
                <w:sz w:val="20"/>
                <w:szCs w:val="20"/>
                <w:lang w:bidi="ar-SA"/>
              </w:rPr>
              <w:t>ČSN EN ISO 5577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4F" w:rsidRPr="00D00EFD" w:rsidRDefault="00125DC0" w:rsidP="008C60E5">
            <w:pPr>
              <w:suppressAutoHyphens w:val="0"/>
              <w:autoSpaceDN w:val="0"/>
              <w:adjustRightInd w:val="0"/>
              <w:jc w:val="both"/>
              <w:rPr>
                <w:rFonts w:eastAsia="TimesNewRomanPS-BoldMT"/>
                <w:bCs/>
                <w:sz w:val="20"/>
                <w:szCs w:val="20"/>
              </w:rPr>
            </w:pPr>
            <w:r w:rsidRPr="00D00EFD">
              <w:rPr>
                <w:rFonts w:eastAsia="TimesNewRomanPS-BoldMT"/>
                <w:bCs/>
                <w:sz w:val="20"/>
                <w:szCs w:val="20"/>
                <w:lang w:bidi="ar-SA"/>
              </w:rPr>
              <w:t>Nedestruktivní zkoušení - Zkoušení ultrazvukem - Slovník</w:t>
            </w:r>
            <w:r w:rsidRPr="00D00EFD">
              <w:rPr>
                <w:rFonts w:eastAsia="TimesNewRomanPSMT"/>
                <w:sz w:val="20"/>
                <w:szCs w:val="20"/>
                <w:lang w:bidi="ar-SA"/>
              </w:rPr>
              <w:t>+)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64F" w:rsidRPr="00D00EFD" w:rsidRDefault="00125DC0" w:rsidP="00587BCC">
            <w:pPr>
              <w:suppressAutoHyphens w:val="0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00EFD">
              <w:rPr>
                <w:rFonts w:eastAsia="TimesNewRomanPSMT"/>
                <w:sz w:val="20"/>
                <w:szCs w:val="20"/>
                <w:lang w:bidi="ar-SA"/>
              </w:rPr>
              <w:t>2017-08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4F" w:rsidRPr="00D00EFD" w:rsidRDefault="00125DC0" w:rsidP="00B575FB">
            <w:pPr>
              <w:snapToGrid w:val="0"/>
              <w:rPr>
                <w:rFonts w:eastAsia="TimesNewRomanPSMT"/>
                <w:i/>
                <w:sz w:val="20"/>
                <w:szCs w:val="20"/>
              </w:rPr>
            </w:pPr>
            <w:r w:rsidRPr="00D00EFD">
              <w:rPr>
                <w:rFonts w:eastAsia="TimesNewRomanPSMT"/>
                <w:i/>
                <w:sz w:val="20"/>
                <w:szCs w:val="20"/>
                <w:lang w:bidi="ar-SA"/>
              </w:rPr>
              <w:t>ČSN EN 1330-4 (01 5005) Červenec 2010</w:t>
            </w:r>
          </w:p>
        </w:tc>
      </w:tr>
      <w:tr w:rsidR="004C17A0" w:rsidRPr="001A4BFC" w:rsidTr="00100743">
        <w:trPr>
          <w:trHeight w:val="293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7A0" w:rsidRPr="00D00EFD" w:rsidRDefault="00125DC0" w:rsidP="00CC0361">
            <w:pPr>
              <w:suppressAutoHyphens w:val="0"/>
              <w:jc w:val="both"/>
              <w:rPr>
                <w:rFonts w:eastAsia="TimesNewRomanPSMT"/>
                <w:sz w:val="20"/>
                <w:szCs w:val="20"/>
                <w:lang w:bidi="ar-SA"/>
              </w:rPr>
            </w:pPr>
            <w:r w:rsidRPr="00D00EFD">
              <w:rPr>
                <w:rFonts w:eastAsia="TimesNewRomanPSMT"/>
                <w:sz w:val="20"/>
                <w:szCs w:val="20"/>
                <w:lang w:bidi="ar-SA"/>
              </w:rPr>
              <w:t>05 1178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7A0" w:rsidRPr="00D00EFD" w:rsidRDefault="00125DC0" w:rsidP="009D3392">
            <w:pPr>
              <w:snapToGrid w:val="0"/>
              <w:jc w:val="both"/>
              <w:rPr>
                <w:rFonts w:eastAsia="TimesNewRomanPS-BoldMT"/>
                <w:bCs/>
                <w:sz w:val="20"/>
                <w:szCs w:val="20"/>
                <w:lang w:bidi="ar-SA"/>
              </w:rPr>
            </w:pPr>
            <w:r w:rsidRPr="00D00EFD">
              <w:rPr>
                <w:rFonts w:eastAsia="TimesNewRomanPS-BoldMT"/>
                <w:bCs/>
                <w:sz w:val="20"/>
                <w:szCs w:val="20"/>
                <w:lang w:bidi="ar-SA"/>
              </w:rPr>
              <w:t>ČSN EN ISO 10675-1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C0" w:rsidRPr="00D00EFD" w:rsidRDefault="00125DC0" w:rsidP="00125DC0">
            <w:pPr>
              <w:widowControl/>
              <w:suppressAutoHyphens w:val="0"/>
              <w:autoSpaceDN w:val="0"/>
              <w:adjustRightInd w:val="0"/>
              <w:rPr>
                <w:rFonts w:eastAsia="TimesNewRomanPS-BoldMT"/>
                <w:bCs/>
                <w:sz w:val="20"/>
                <w:szCs w:val="20"/>
                <w:lang w:bidi="ar-SA"/>
              </w:rPr>
            </w:pPr>
            <w:r w:rsidRPr="00D00EFD">
              <w:rPr>
                <w:rFonts w:eastAsia="TimesNewRomanPS-BoldMT"/>
                <w:bCs/>
                <w:sz w:val="20"/>
                <w:szCs w:val="20"/>
                <w:lang w:bidi="ar-SA"/>
              </w:rPr>
              <w:t>Nedestruktivní zkoušení svarů - Kritéria přípustnosti pro radiografické</w:t>
            </w:r>
          </w:p>
          <w:p w:rsidR="004C17A0" w:rsidRPr="00D00EFD" w:rsidRDefault="00125DC0" w:rsidP="00125DC0">
            <w:pPr>
              <w:suppressAutoHyphens w:val="0"/>
              <w:autoSpaceDN w:val="0"/>
              <w:adjustRightInd w:val="0"/>
              <w:jc w:val="both"/>
              <w:rPr>
                <w:rFonts w:eastAsia="TimesNewRomanPS-BoldMT"/>
                <w:bCs/>
                <w:sz w:val="20"/>
                <w:szCs w:val="20"/>
                <w:lang w:bidi="ar-SA"/>
              </w:rPr>
            </w:pPr>
            <w:r w:rsidRPr="00D00EFD">
              <w:rPr>
                <w:rFonts w:eastAsia="TimesNewRomanPS-BoldMT"/>
                <w:bCs/>
                <w:sz w:val="20"/>
                <w:szCs w:val="20"/>
                <w:lang w:bidi="ar-SA"/>
              </w:rPr>
              <w:t>zkoušení - Část 1: Ocel, nikl, titan a jejich slitiny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7A0" w:rsidRPr="00D00EFD" w:rsidRDefault="00D00EFD" w:rsidP="00587B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0EFD">
              <w:rPr>
                <w:rFonts w:eastAsia="TimesNewRomanPSMT"/>
                <w:sz w:val="20"/>
                <w:szCs w:val="20"/>
                <w:lang w:bidi="ar-SA"/>
              </w:rPr>
              <w:t>2017-08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A0" w:rsidRPr="00D00EFD" w:rsidRDefault="00125DC0" w:rsidP="00636027">
            <w:pPr>
              <w:snapToGrid w:val="0"/>
              <w:rPr>
                <w:rFonts w:eastAsia="TimesNewRomanPSMT"/>
                <w:i/>
                <w:sz w:val="20"/>
                <w:szCs w:val="20"/>
                <w:lang w:bidi="ar-SA"/>
              </w:rPr>
            </w:pPr>
            <w:r w:rsidRPr="00D00EFD">
              <w:rPr>
                <w:rFonts w:eastAsia="TimesNewRomanPSMT"/>
                <w:i/>
                <w:sz w:val="20"/>
                <w:szCs w:val="20"/>
                <w:lang w:bidi="ar-SA"/>
              </w:rPr>
              <w:t>ČSN EN ISO 10675-1 (05 1178) Březen 2014</w:t>
            </w:r>
          </w:p>
        </w:tc>
      </w:tr>
      <w:tr w:rsidR="004C17A0" w:rsidRPr="001A4BFC" w:rsidTr="00100743">
        <w:trPr>
          <w:trHeight w:val="293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7A0" w:rsidRPr="00D00EFD" w:rsidRDefault="00125DC0" w:rsidP="00CC0361">
            <w:pPr>
              <w:suppressAutoHyphens w:val="0"/>
              <w:jc w:val="both"/>
              <w:rPr>
                <w:rFonts w:eastAsia="TimesNewRomanPSMT"/>
                <w:sz w:val="20"/>
                <w:szCs w:val="20"/>
                <w:lang w:bidi="ar-SA"/>
              </w:rPr>
            </w:pPr>
            <w:r w:rsidRPr="00D00EFD">
              <w:rPr>
                <w:rFonts w:eastAsia="TimesNewRomanPSMT"/>
                <w:sz w:val="20"/>
                <w:szCs w:val="20"/>
                <w:lang w:bidi="ar-SA"/>
              </w:rPr>
              <w:t>07 8439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7A0" w:rsidRPr="00D00EFD" w:rsidRDefault="00125DC0" w:rsidP="009D3392">
            <w:pPr>
              <w:snapToGrid w:val="0"/>
              <w:jc w:val="both"/>
              <w:rPr>
                <w:rFonts w:eastAsia="TimesNewRomanPS-BoldMT"/>
                <w:bCs/>
                <w:sz w:val="20"/>
                <w:szCs w:val="20"/>
                <w:lang w:bidi="ar-SA"/>
              </w:rPr>
            </w:pPr>
            <w:r w:rsidRPr="00D00EFD">
              <w:rPr>
                <w:rFonts w:eastAsia="TimesNewRomanPS-BoldMT"/>
                <w:bCs/>
                <w:sz w:val="20"/>
                <w:szCs w:val="20"/>
                <w:lang w:bidi="ar-SA"/>
              </w:rPr>
              <w:t>ČSN EN 13110+</w:t>
            </w:r>
            <w:proofErr w:type="spellStart"/>
            <w:r w:rsidRPr="00D00EFD">
              <w:rPr>
                <w:rFonts w:eastAsia="TimesNewRomanPS-BoldMT"/>
                <w:bCs/>
                <w:sz w:val="20"/>
                <w:szCs w:val="20"/>
                <w:lang w:bidi="ar-SA"/>
              </w:rPr>
              <w:t>A1</w:t>
            </w:r>
            <w:proofErr w:type="spellEnd"/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C0" w:rsidRPr="00D00EFD" w:rsidRDefault="00125DC0" w:rsidP="00125DC0">
            <w:pPr>
              <w:widowControl/>
              <w:suppressAutoHyphens w:val="0"/>
              <w:autoSpaceDN w:val="0"/>
              <w:adjustRightInd w:val="0"/>
              <w:rPr>
                <w:rFonts w:eastAsia="TimesNewRomanPS-BoldMT"/>
                <w:bCs/>
                <w:sz w:val="20"/>
                <w:szCs w:val="20"/>
                <w:lang w:bidi="ar-SA"/>
              </w:rPr>
            </w:pPr>
            <w:r w:rsidRPr="00D00EFD">
              <w:rPr>
                <w:rFonts w:eastAsia="TimesNewRomanPS-BoldMT"/>
                <w:bCs/>
                <w:sz w:val="20"/>
                <w:szCs w:val="20"/>
                <w:lang w:bidi="ar-SA"/>
              </w:rPr>
              <w:t xml:space="preserve">Zařízení a příslušenství na </w:t>
            </w:r>
            <w:proofErr w:type="spellStart"/>
            <w:r w:rsidRPr="00D00EFD">
              <w:rPr>
                <w:rFonts w:eastAsia="TimesNewRomanPS-BoldMT"/>
                <w:bCs/>
                <w:sz w:val="20"/>
                <w:szCs w:val="20"/>
                <w:lang w:bidi="ar-SA"/>
              </w:rPr>
              <w:t>LPG</w:t>
            </w:r>
            <w:proofErr w:type="spellEnd"/>
            <w:r w:rsidRPr="00D00EFD">
              <w:rPr>
                <w:rFonts w:eastAsia="TimesNewRomanPS-BoldMT"/>
                <w:bCs/>
                <w:sz w:val="20"/>
                <w:szCs w:val="20"/>
                <w:lang w:bidi="ar-SA"/>
              </w:rPr>
              <w:t xml:space="preserve"> - </w:t>
            </w:r>
            <w:proofErr w:type="spellStart"/>
            <w:r w:rsidRPr="00D00EFD">
              <w:rPr>
                <w:rFonts w:eastAsia="TimesNewRomanPS-BoldMT"/>
                <w:bCs/>
                <w:sz w:val="20"/>
                <w:szCs w:val="20"/>
                <w:lang w:bidi="ar-SA"/>
              </w:rPr>
              <w:t>Znovuplnitelné</w:t>
            </w:r>
            <w:proofErr w:type="spellEnd"/>
            <w:r w:rsidRPr="00D00EFD">
              <w:rPr>
                <w:rFonts w:eastAsia="TimesNewRomanPS-BoldMT"/>
                <w:bCs/>
                <w:sz w:val="20"/>
                <w:szCs w:val="20"/>
                <w:lang w:bidi="ar-SA"/>
              </w:rPr>
              <w:t xml:space="preserve"> svařované hliníkové lahve </w:t>
            </w:r>
            <w:proofErr w:type="gramStart"/>
            <w:r w:rsidRPr="00D00EFD">
              <w:rPr>
                <w:rFonts w:eastAsia="TimesNewRomanPS-BoldMT"/>
                <w:bCs/>
                <w:sz w:val="20"/>
                <w:szCs w:val="20"/>
                <w:lang w:bidi="ar-SA"/>
              </w:rPr>
              <w:t>na</w:t>
            </w:r>
            <w:proofErr w:type="gramEnd"/>
          </w:p>
          <w:p w:rsidR="004C17A0" w:rsidRPr="00D00EFD" w:rsidRDefault="00125DC0" w:rsidP="00125DC0">
            <w:pPr>
              <w:widowControl/>
              <w:suppressAutoHyphens w:val="0"/>
              <w:autoSpaceDN w:val="0"/>
              <w:adjustRightInd w:val="0"/>
              <w:rPr>
                <w:rFonts w:eastAsia="TimesNewRomanPS-BoldMT"/>
                <w:bCs/>
                <w:sz w:val="20"/>
                <w:szCs w:val="20"/>
                <w:lang w:bidi="ar-SA"/>
              </w:rPr>
            </w:pPr>
            <w:r w:rsidRPr="00D00EFD">
              <w:rPr>
                <w:rFonts w:eastAsia="TimesNewRomanPS-BoldMT"/>
                <w:bCs/>
                <w:sz w:val="20"/>
                <w:szCs w:val="20"/>
                <w:lang w:bidi="ar-SA"/>
              </w:rPr>
              <w:t>přepravu zkapalněných uhlovodíkových plynů (</w:t>
            </w:r>
            <w:proofErr w:type="spellStart"/>
            <w:r w:rsidRPr="00D00EFD">
              <w:rPr>
                <w:rFonts w:eastAsia="TimesNewRomanPS-BoldMT"/>
                <w:bCs/>
                <w:sz w:val="20"/>
                <w:szCs w:val="20"/>
                <w:lang w:bidi="ar-SA"/>
              </w:rPr>
              <w:t>LPG</w:t>
            </w:r>
            <w:proofErr w:type="spellEnd"/>
            <w:r w:rsidRPr="00D00EFD">
              <w:rPr>
                <w:rFonts w:eastAsia="TimesNewRomanPS-BoldMT"/>
                <w:bCs/>
                <w:sz w:val="20"/>
                <w:szCs w:val="20"/>
                <w:lang w:bidi="ar-SA"/>
              </w:rPr>
              <w:t>) - Návrh a konstrukce</w:t>
            </w:r>
            <w:r w:rsidRPr="00D00EFD">
              <w:rPr>
                <w:rFonts w:eastAsia="TimesNewRomanPSMT"/>
                <w:sz w:val="20"/>
                <w:szCs w:val="20"/>
                <w:lang w:bidi="ar-SA"/>
              </w:rPr>
              <w:t>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7A0" w:rsidRPr="00D00EFD" w:rsidRDefault="00D00EFD" w:rsidP="00587B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0EFD">
              <w:rPr>
                <w:rFonts w:eastAsia="TimesNewRomanPSMT"/>
                <w:sz w:val="20"/>
                <w:szCs w:val="20"/>
                <w:lang w:bidi="ar-SA"/>
              </w:rPr>
              <w:t>2017-08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A0" w:rsidRPr="00D00EFD" w:rsidRDefault="00125DC0" w:rsidP="00636027">
            <w:pPr>
              <w:snapToGrid w:val="0"/>
              <w:rPr>
                <w:rFonts w:eastAsia="TimesNewRomanPSMT"/>
                <w:i/>
                <w:sz w:val="20"/>
                <w:szCs w:val="20"/>
                <w:lang w:bidi="ar-SA"/>
              </w:rPr>
            </w:pPr>
            <w:r w:rsidRPr="00D00EFD">
              <w:rPr>
                <w:rFonts w:eastAsia="TimesNewRomanPSMT"/>
                <w:i/>
                <w:sz w:val="20"/>
                <w:szCs w:val="20"/>
                <w:lang w:bidi="ar-SA"/>
              </w:rPr>
              <w:t>ČSN EN 13110 (07 8439) Listopad 2012</w:t>
            </w:r>
          </w:p>
        </w:tc>
      </w:tr>
      <w:tr w:rsidR="004C17A0" w:rsidRPr="001A4BFC" w:rsidTr="00100743">
        <w:trPr>
          <w:trHeight w:val="293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7A0" w:rsidRPr="00D00EFD" w:rsidRDefault="00125DC0" w:rsidP="00CC0361">
            <w:pPr>
              <w:suppressAutoHyphens w:val="0"/>
              <w:jc w:val="both"/>
              <w:rPr>
                <w:rFonts w:eastAsia="TimesNewRomanPSMT"/>
                <w:sz w:val="20"/>
                <w:szCs w:val="20"/>
                <w:lang w:bidi="ar-SA"/>
              </w:rPr>
            </w:pPr>
            <w:r w:rsidRPr="00D00EFD">
              <w:rPr>
                <w:rFonts w:eastAsia="TimesNewRomanPSMT"/>
                <w:sz w:val="20"/>
                <w:szCs w:val="20"/>
                <w:lang w:bidi="ar-SA"/>
              </w:rPr>
              <w:t>13 4800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7A0" w:rsidRPr="00D00EFD" w:rsidRDefault="00125DC0" w:rsidP="009D3392">
            <w:pPr>
              <w:snapToGrid w:val="0"/>
              <w:jc w:val="both"/>
              <w:rPr>
                <w:rFonts w:eastAsia="TimesNewRomanPS-BoldMT"/>
                <w:bCs/>
                <w:sz w:val="20"/>
                <w:szCs w:val="20"/>
                <w:lang w:bidi="ar-SA"/>
              </w:rPr>
            </w:pPr>
            <w:r w:rsidRPr="00D00EFD">
              <w:rPr>
                <w:rFonts w:eastAsia="TimesNewRomanPS-BoldMT"/>
                <w:bCs/>
                <w:sz w:val="20"/>
                <w:szCs w:val="20"/>
                <w:lang w:bidi="ar-SA"/>
              </w:rPr>
              <w:t>ČSN EN ISO 6553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7A0" w:rsidRPr="00D00EFD" w:rsidRDefault="00125DC0" w:rsidP="004C17A0">
            <w:pPr>
              <w:widowControl/>
              <w:suppressAutoHyphens w:val="0"/>
              <w:autoSpaceDN w:val="0"/>
              <w:adjustRightInd w:val="0"/>
              <w:rPr>
                <w:rFonts w:eastAsia="TimesNewRomanPS-BoldMT"/>
                <w:bCs/>
                <w:sz w:val="20"/>
                <w:szCs w:val="20"/>
                <w:lang w:bidi="ar-SA"/>
              </w:rPr>
            </w:pPr>
            <w:r w:rsidRPr="00D00EFD">
              <w:rPr>
                <w:rFonts w:eastAsia="TimesNewRomanPS-BoldMT"/>
                <w:bCs/>
                <w:sz w:val="20"/>
                <w:szCs w:val="20"/>
                <w:lang w:bidi="ar-SA"/>
              </w:rPr>
              <w:t xml:space="preserve">Samočinné </w:t>
            </w:r>
            <w:proofErr w:type="spellStart"/>
            <w:r w:rsidRPr="00D00EFD">
              <w:rPr>
                <w:rFonts w:eastAsia="TimesNewRomanPS-BoldMT"/>
                <w:bCs/>
                <w:sz w:val="20"/>
                <w:szCs w:val="20"/>
                <w:lang w:bidi="ar-SA"/>
              </w:rPr>
              <w:t>odvaděče</w:t>
            </w:r>
            <w:proofErr w:type="spellEnd"/>
            <w:r w:rsidRPr="00D00EFD">
              <w:rPr>
                <w:rFonts w:eastAsia="TimesNewRomanPS-BoldMT"/>
                <w:bCs/>
                <w:sz w:val="20"/>
                <w:szCs w:val="20"/>
                <w:lang w:bidi="ar-SA"/>
              </w:rPr>
              <w:t xml:space="preserve"> kondenzátu - Značení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7A0" w:rsidRPr="00D00EFD" w:rsidRDefault="00D00EFD" w:rsidP="00587B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0EFD">
              <w:rPr>
                <w:rFonts w:eastAsia="TimesNewRomanPSMT"/>
                <w:sz w:val="20"/>
                <w:szCs w:val="20"/>
                <w:lang w:bidi="ar-SA"/>
              </w:rPr>
              <w:t>2017-08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A0" w:rsidRPr="00D00EFD" w:rsidRDefault="00125DC0" w:rsidP="00636027">
            <w:pPr>
              <w:snapToGrid w:val="0"/>
              <w:rPr>
                <w:rFonts w:eastAsia="TimesNewRomanPSMT"/>
                <w:i/>
                <w:sz w:val="20"/>
                <w:szCs w:val="20"/>
                <w:lang w:bidi="ar-SA"/>
              </w:rPr>
            </w:pPr>
            <w:r w:rsidRPr="00D00EFD">
              <w:rPr>
                <w:rFonts w:eastAsia="TimesNewRomanPSMT"/>
                <w:i/>
                <w:sz w:val="20"/>
                <w:szCs w:val="20"/>
                <w:lang w:bidi="ar-SA"/>
              </w:rPr>
              <w:t>ČSN EN 26553 (13 4800) Květen 1994</w:t>
            </w:r>
          </w:p>
        </w:tc>
      </w:tr>
      <w:tr w:rsidR="004C17A0" w:rsidRPr="001A4BFC" w:rsidTr="00100743">
        <w:trPr>
          <w:trHeight w:val="293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7A0" w:rsidRPr="00D00EFD" w:rsidRDefault="00125DC0" w:rsidP="00CC0361">
            <w:pPr>
              <w:suppressAutoHyphens w:val="0"/>
              <w:jc w:val="both"/>
              <w:rPr>
                <w:rFonts w:eastAsia="TimesNewRomanPSMT"/>
                <w:sz w:val="20"/>
                <w:szCs w:val="20"/>
                <w:lang w:bidi="ar-SA"/>
              </w:rPr>
            </w:pPr>
            <w:r w:rsidRPr="00D00EFD">
              <w:rPr>
                <w:rFonts w:eastAsia="TimesNewRomanPSMT"/>
                <w:sz w:val="20"/>
                <w:szCs w:val="20"/>
                <w:lang w:bidi="ar-SA"/>
              </w:rPr>
              <w:t>14 3015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7A0" w:rsidRPr="00D00EFD" w:rsidRDefault="00125DC0" w:rsidP="009D3392">
            <w:pPr>
              <w:snapToGrid w:val="0"/>
              <w:jc w:val="both"/>
              <w:rPr>
                <w:rFonts w:eastAsia="TimesNewRomanPS-BoldMT"/>
                <w:bCs/>
                <w:sz w:val="20"/>
                <w:szCs w:val="20"/>
                <w:lang w:bidi="ar-SA"/>
              </w:rPr>
            </w:pPr>
            <w:r w:rsidRPr="00D00EFD">
              <w:rPr>
                <w:rFonts w:eastAsia="TimesNewRomanPS-BoldMT"/>
                <w:bCs/>
                <w:sz w:val="20"/>
                <w:szCs w:val="20"/>
                <w:lang w:bidi="ar-SA"/>
              </w:rPr>
              <w:t>ČSN EN 16147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C0" w:rsidRPr="00D00EFD" w:rsidRDefault="00125DC0" w:rsidP="00125DC0">
            <w:pPr>
              <w:widowControl/>
              <w:suppressAutoHyphens w:val="0"/>
              <w:autoSpaceDN w:val="0"/>
              <w:adjustRightInd w:val="0"/>
              <w:rPr>
                <w:rFonts w:eastAsia="TimesNewRomanPS-BoldMT"/>
                <w:bCs/>
                <w:sz w:val="20"/>
                <w:szCs w:val="20"/>
                <w:lang w:bidi="ar-SA"/>
              </w:rPr>
            </w:pPr>
            <w:r w:rsidRPr="00D00EFD">
              <w:rPr>
                <w:rFonts w:eastAsia="TimesNewRomanPS-BoldMT"/>
                <w:bCs/>
                <w:sz w:val="20"/>
                <w:szCs w:val="20"/>
                <w:lang w:bidi="ar-SA"/>
              </w:rPr>
              <w:t>Tepelná čerpadla s elektricky poháněnými kompresory - Zkoušení, hodnocení</w:t>
            </w:r>
          </w:p>
          <w:p w:rsidR="004C17A0" w:rsidRPr="00D00EFD" w:rsidRDefault="00125DC0" w:rsidP="004C17A0">
            <w:pPr>
              <w:widowControl/>
              <w:suppressAutoHyphens w:val="0"/>
              <w:autoSpaceDN w:val="0"/>
              <w:adjustRightInd w:val="0"/>
              <w:rPr>
                <w:rFonts w:eastAsia="TimesNewRomanPSMT"/>
                <w:sz w:val="20"/>
                <w:szCs w:val="20"/>
                <w:lang w:bidi="ar-SA"/>
              </w:rPr>
            </w:pPr>
            <w:r w:rsidRPr="00D00EFD">
              <w:rPr>
                <w:rFonts w:eastAsia="TimesNewRomanPS-BoldMT"/>
                <w:bCs/>
                <w:sz w:val="20"/>
                <w:szCs w:val="20"/>
                <w:lang w:bidi="ar-SA"/>
              </w:rPr>
              <w:t>výkonnosti a požadavky na značení jednotek pro teplou užitkovou vodu</w:t>
            </w:r>
            <w:r w:rsidRPr="00D00EFD">
              <w:rPr>
                <w:rFonts w:eastAsia="TimesNewRomanPSMT"/>
                <w:sz w:val="20"/>
                <w:szCs w:val="20"/>
                <w:lang w:bidi="ar-SA"/>
              </w:rPr>
              <w:t>+);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7A0" w:rsidRPr="00D00EFD" w:rsidRDefault="00D00EFD" w:rsidP="00681660">
            <w:pPr>
              <w:rPr>
                <w:bCs/>
                <w:color w:val="000000"/>
                <w:sz w:val="20"/>
                <w:szCs w:val="20"/>
              </w:rPr>
            </w:pPr>
            <w:r w:rsidRPr="00D00EFD">
              <w:rPr>
                <w:rFonts w:eastAsia="TimesNewRomanPSMT"/>
                <w:sz w:val="20"/>
                <w:szCs w:val="20"/>
                <w:lang w:bidi="ar-SA"/>
              </w:rPr>
              <w:t>2017-08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A0" w:rsidRPr="00D00EFD" w:rsidRDefault="00125DC0" w:rsidP="00636027">
            <w:pPr>
              <w:snapToGrid w:val="0"/>
              <w:rPr>
                <w:rFonts w:eastAsia="TimesNewRomanPSMT"/>
                <w:i/>
                <w:sz w:val="20"/>
                <w:szCs w:val="20"/>
                <w:lang w:bidi="ar-SA"/>
              </w:rPr>
            </w:pPr>
            <w:r w:rsidRPr="00D00EFD">
              <w:rPr>
                <w:rFonts w:eastAsia="TimesNewRomanPSMT"/>
                <w:i/>
                <w:sz w:val="20"/>
                <w:szCs w:val="20"/>
                <w:lang w:bidi="ar-SA"/>
              </w:rPr>
              <w:t>ČSN EN 16147 (14 3015) Září 2011</w:t>
            </w:r>
          </w:p>
        </w:tc>
      </w:tr>
      <w:tr w:rsidR="004C17A0" w:rsidRPr="001A4BFC" w:rsidTr="00100743">
        <w:trPr>
          <w:trHeight w:val="293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7A0" w:rsidRPr="00D00EFD" w:rsidRDefault="00125DC0" w:rsidP="00CC0361">
            <w:pPr>
              <w:suppressAutoHyphens w:val="0"/>
              <w:jc w:val="both"/>
              <w:rPr>
                <w:rFonts w:eastAsia="TimesNewRomanPSMT"/>
                <w:sz w:val="20"/>
                <w:szCs w:val="20"/>
                <w:lang w:bidi="ar-SA"/>
              </w:rPr>
            </w:pPr>
            <w:r w:rsidRPr="00D00EFD">
              <w:rPr>
                <w:rFonts w:eastAsia="TimesNewRomanPSMT"/>
                <w:sz w:val="20"/>
                <w:szCs w:val="20"/>
                <w:lang w:bidi="ar-SA"/>
              </w:rPr>
              <w:t>38 9700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7A0" w:rsidRPr="00D00EFD" w:rsidRDefault="00125DC0" w:rsidP="009D3392">
            <w:pPr>
              <w:snapToGrid w:val="0"/>
              <w:jc w:val="both"/>
              <w:rPr>
                <w:rFonts w:eastAsia="TimesNewRomanPS-BoldMT"/>
                <w:bCs/>
                <w:sz w:val="20"/>
                <w:szCs w:val="20"/>
                <w:lang w:bidi="ar-SA"/>
              </w:rPr>
            </w:pPr>
            <w:r w:rsidRPr="00D00EFD">
              <w:rPr>
                <w:rFonts w:eastAsia="TimesNewRomanPS-BoldMT"/>
                <w:bCs/>
                <w:sz w:val="20"/>
                <w:szCs w:val="20"/>
                <w:lang w:bidi="ar-SA"/>
              </w:rPr>
              <w:t xml:space="preserve">ČSN EN 12101-2 </w:t>
            </w:r>
            <w:proofErr w:type="spellStart"/>
            <w:r w:rsidRPr="00D00EFD">
              <w:rPr>
                <w:rFonts w:eastAsia="TimesNewRomanPS-BoldMT"/>
                <w:bCs/>
                <w:sz w:val="20"/>
                <w:szCs w:val="20"/>
                <w:lang w:bidi="ar-SA"/>
              </w:rPr>
              <w:t>ed</w:t>
            </w:r>
            <w:proofErr w:type="spellEnd"/>
            <w:r w:rsidRPr="00D00EFD">
              <w:rPr>
                <w:rFonts w:eastAsia="TimesNewRomanPS-BoldMT"/>
                <w:bCs/>
                <w:sz w:val="20"/>
                <w:szCs w:val="20"/>
                <w:lang w:bidi="ar-SA"/>
              </w:rPr>
              <w:t>. 2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7A0" w:rsidRPr="00D00EFD" w:rsidRDefault="00125DC0" w:rsidP="00D00EFD">
            <w:pPr>
              <w:widowControl/>
              <w:suppressAutoHyphens w:val="0"/>
              <w:autoSpaceDN w:val="0"/>
              <w:adjustRightInd w:val="0"/>
              <w:rPr>
                <w:rFonts w:eastAsia="TimesNewRomanPS-BoldMT"/>
                <w:bCs/>
                <w:sz w:val="20"/>
                <w:szCs w:val="20"/>
                <w:lang w:bidi="ar-SA"/>
              </w:rPr>
            </w:pPr>
            <w:r w:rsidRPr="00D00EFD">
              <w:rPr>
                <w:rFonts w:eastAsia="TimesNewRomanPS-BoldMT"/>
                <w:bCs/>
                <w:sz w:val="20"/>
                <w:szCs w:val="20"/>
                <w:lang w:bidi="ar-SA"/>
              </w:rPr>
              <w:t>Zařízení pro usměrňování pohybu kouře a tepla - Část 2: Odtahová zařízení</w:t>
            </w:r>
            <w:r w:rsidR="00D00EFD" w:rsidRPr="00D00EFD">
              <w:rPr>
                <w:rFonts w:eastAsia="TimesNewRomanPS-BoldMT"/>
                <w:bCs/>
                <w:sz w:val="20"/>
                <w:szCs w:val="20"/>
                <w:lang w:bidi="ar-SA"/>
              </w:rPr>
              <w:t xml:space="preserve"> pro </w:t>
            </w:r>
            <w:r w:rsidRPr="00D00EFD">
              <w:rPr>
                <w:rFonts w:eastAsia="TimesNewRomanPS-BoldMT"/>
                <w:bCs/>
                <w:sz w:val="20"/>
                <w:szCs w:val="20"/>
                <w:lang w:bidi="ar-SA"/>
              </w:rPr>
              <w:t>přirozený odvod kouře a tepla</w:t>
            </w:r>
            <w:r w:rsidRPr="00D00EFD">
              <w:rPr>
                <w:rFonts w:eastAsia="TimesNewRomanPSMT"/>
                <w:sz w:val="20"/>
                <w:szCs w:val="20"/>
                <w:lang w:bidi="ar-SA"/>
              </w:rPr>
              <w:t>+)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7A0" w:rsidRPr="00D00EFD" w:rsidRDefault="00D00EFD" w:rsidP="00681660">
            <w:pPr>
              <w:rPr>
                <w:bCs/>
                <w:color w:val="000000"/>
                <w:sz w:val="20"/>
                <w:szCs w:val="20"/>
              </w:rPr>
            </w:pPr>
            <w:r w:rsidRPr="00D00EFD">
              <w:rPr>
                <w:rFonts w:eastAsia="TimesNewRomanPSMT"/>
                <w:sz w:val="20"/>
                <w:szCs w:val="20"/>
                <w:lang w:bidi="ar-SA"/>
              </w:rPr>
              <w:t>2017-08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A0" w:rsidRPr="00D00EFD" w:rsidRDefault="00125DC0" w:rsidP="00636027">
            <w:pPr>
              <w:snapToGrid w:val="0"/>
              <w:rPr>
                <w:rFonts w:eastAsia="TimesNewRomanPSMT"/>
                <w:i/>
                <w:sz w:val="20"/>
                <w:szCs w:val="20"/>
                <w:lang w:bidi="ar-SA"/>
              </w:rPr>
            </w:pPr>
            <w:r w:rsidRPr="00D00EFD">
              <w:rPr>
                <w:rFonts w:eastAsia="TimesNewRomanPSMT"/>
                <w:i/>
                <w:sz w:val="20"/>
                <w:szCs w:val="20"/>
                <w:lang w:bidi="ar-SA"/>
              </w:rPr>
              <w:t>ČSN EN 12101-2 (38 9700) Duben 2004</w:t>
            </w:r>
          </w:p>
        </w:tc>
      </w:tr>
      <w:tr w:rsidR="000D2609" w:rsidRPr="001A4BFC" w:rsidTr="00100743">
        <w:trPr>
          <w:trHeight w:val="293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609" w:rsidRPr="00D00EFD" w:rsidRDefault="00125DC0" w:rsidP="00CC0361">
            <w:pPr>
              <w:suppressAutoHyphens w:val="0"/>
              <w:jc w:val="both"/>
              <w:rPr>
                <w:rFonts w:eastAsia="TimesNewRomanPSMT"/>
                <w:sz w:val="20"/>
                <w:szCs w:val="20"/>
                <w:lang w:bidi="ar-SA"/>
              </w:rPr>
            </w:pPr>
            <w:r w:rsidRPr="00D00EFD">
              <w:rPr>
                <w:rFonts w:eastAsia="TimesNewRomanPSMT"/>
                <w:sz w:val="20"/>
                <w:szCs w:val="20"/>
                <w:lang w:bidi="ar-SA"/>
              </w:rPr>
              <w:t>73 0857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609" w:rsidRPr="00D00EFD" w:rsidRDefault="00125DC0" w:rsidP="009D3392">
            <w:pPr>
              <w:snapToGrid w:val="0"/>
              <w:jc w:val="both"/>
              <w:rPr>
                <w:rFonts w:eastAsia="TimesNewRomanPS-BoldMT"/>
                <w:bCs/>
                <w:sz w:val="20"/>
                <w:szCs w:val="20"/>
                <w:lang w:bidi="ar-SA"/>
              </w:rPr>
            </w:pPr>
            <w:r w:rsidRPr="00D00EFD">
              <w:rPr>
                <w:rFonts w:eastAsia="TimesNewRomanPS-BoldMT"/>
                <w:bCs/>
                <w:sz w:val="20"/>
                <w:szCs w:val="20"/>
                <w:lang w:bidi="ar-SA"/>
              </w:rPr>
              <w:t>ČSN EN 1366-10+</w:t>
            </w:r>
            <w:proofErr w:type="spellStart"/>
            <w:r w:rsidRPr="00D00EFD">
              <w:rPr>
                <w:rFonts w:eastAsia="TimesNewRomanPS-BoldMT"/>
                <w:bCs/>
                <w:sz w:val="20"/>
                <w:szCs w:val="20"/>
                <w:lang w:bidi="ar-SA"/>
              </w:rPr>
              <w:t>A1</w:t>
            </w:r>
            <w:proofErr w:type="spellEnd"/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C0" w:rsidRPr="00D00EFD" w:rsidRDefault="00125DC0" w:rsidP="00125DC0">
            <w:pPr>
              <w:widowControl/>
              <w:suppressAutoHyphens w:val="0"/>
              <w:autoSpaceDN w:val="0"/>
              <w:adjustRightInd w:val="0"/>
              <w:rPr>
                <w:rFonts w:eastAsia="TimesNewRomanPS-BoldMT"/>
                <w:bCs/>
                <w:sz w:val="20"/>
                <w:szCs w:val="20"/>
                <w:lang w:bidi="ar-SA"/>
              </w:rPr>
            </w:pPr>
            <w:r w:rsidRPr="00D00EFD">
              <w:rPr>
                <w:rFonts w:eastAsia="TimesNewRomanPS-BoldMT"/>
                <w:bCs/>
                <w:sz w:val="20"/>
                <w:szCs w:val="20"/>
                <w:lang w:bidi="ar-SA"/>
              </w:rPr>
              <w:t>Zkoušky požární odolnosti provozních instalací - Část 10: Klapky pro odvod</w:t>
            </w:r>
          </w:p>
          <w:p w:rsidR="000D2609" w:rsidRPr="00D00EFD" w:rsidRDefault="00125DC0" w:rsidP="00125DC0">
            <w:pPr>
              <w:widowControl/>
              <w:suppressAutoHyphens w:val="0"/>
              <w:autoSpaceDN w:val="0"/>
              <w:adjustRightInd w:val="0"/>
              <w:rPr>
                <w:rFonts w:eastAsia="TimesNewRomanPS-BoldMT"/>
                <w:bCs/>
                <w:sz w:val="20"/>
                <w:szCs w:val="20"/>
                <w:lang w:bidi="ar-SA"/>
              </w:rPr>
            </w:pPr>
            <w:r w:rsidRPr="00D00EFD">
              <w:rPr>
                <w:rFonts w:eastAsia="TimesNewRomanPS-BoldMT"/>
                <w:bCs/>
                <w:sz w:val="20"/>
                <w:szCs w:val="20"/>
                <w:lang w:bidi="ar-SA"/>
              </w:rPr>
              <w:t>kouře</w:t>
            </w:r>
            <w:r w:rsidRPr="00D00EFD">
              <w:rPr>
                <w:rFonts w:eastAsia="TimesNewRomanPSMT"/>
                <w:sz w:val="20"/>
                <w:szCs w:val="20"/>
                <w:lang w:bidi="ar-SA"/>
              </w:rPr>
              <w:t>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609" w:rsidRPr="00D00EFD" w:rsidRDefault="00D00EFD" w:rsidP="00CC0361">
            <w:pPr>
              <w:suppressAutoHyphens w:val="0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00EFD">
              <w:rPr>
                <w:rFonts w:eastAsia="TimesNewRomanPSMT"/>
                <w:sz w:val="20"/>
                <w:szCs w:val="20"/>
                <w:lang w:bidi="ar-SA"/>
              </w:rPr>
              <w:t>2017-08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609" w:rsidRPr="00D00EFD" w:rsidRDefault="00125DC0" w:rsidP="00636027">
            <w:pPr>
              <w:snapToGrid w:val="0"/>
              <w:rPr>
                <w:rFonts w:eastAsia="TimesNewRomanPSMT"/>
                <w:i/>
                <w:sz w:val="20"/>
                <w:szCs w:val="20"/>
                <w:lang w:bidi="ar-SA"/>
              </w:rPr>
            </w:pPr>
            <w:r w:rsidRPr="00D00EFD">
              <w:rPr>
                <w:rFonts w:eastAsia="TimesNewRomanPSMT"/>
                <w:i/>
                <w:sz w:val="20"/>
                <w:szCs w:val="20"/>
                <w:lang w:bidi="ar-SA"/>
              </w:rPr>
              <w:t>ČSN EN 1366-10 (73 0857) Září 2011</w:t>
            </w:r>
          </w:p>
        </w:tc>
      </w:tr>
    </w:tbl>
    <w:p w:rsidR="00A60786" w:rsidRPr="00A60786" w:rsidRDefault="00A60786" w:rsidP="00A60786">
      <w:pPr>
        <w:widowControl/>
        <w:suppressAutoHyphens w:val="0"/>
        <w:autoSpaceDN w:val="0"/>
        <w:adjustRightInd w:val="0"/>
        <w:jc w:val="center"/>
        <w:rPr>
          <w:rFonts w:eastAsia="TimesNewRomanPS-BoldMT"/>
          <w:b/>
          <w:bCs/>
          <w:sz w:val="20"/>
          <w:szCs w:val="20"/>
          <w:lang w:bidi="ar-SA"/>
        </w:rPr>
      </w:pPr>
      <w:r w:rsidRPr="00A60786">
        <w:rPr>
          <w:rFonts w:eastAsia="TimesNewRomanPS-BoldMT"/>
          <w:b/>
          <w:bCs/>
          <w:sz w:val="20"/>
          <w:szCs w:val="20"/>
          <w:lang w:bidi="ar-SA"/>
        </w:rPr>
        <w:lastRenderedPageBreak/>
        <w:t>OZNÁMENÍ č. 73/17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center"/>
        <w:rPr>
          <w:rFonts w:eastAsia="TimesNewRomanPS-BoldMT"/>
          <w:b/>
          <w:bCs/>
          <w:sz w:val="20"/>
          <w:szCs w:val="20"/>
          <w:lang w:bidi="ar-SA"/>
        </w:rPr>
      </w:pPr>
      <w:r w:rsidRPr="00A60786">
        <w:rPr>
          <w:rFonts w:eastAsia="TimesNewRomanPS-BoldMT"/>
          <w:b/>
          <w:bCs/>
          <w:sz w:val="20"/>
          <w:szCs w:val="20"/>
          <w:lang w:bidi="ar-SA"/>
        </w:rPr>
        <w:t>Úřadu pro technickou normalizaci, metrologii a státní zkušebnictví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center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t>o autorizaci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t>Úřad pro technickou normalizaci, metrologii a státní zkušebnictví (dále jen „</w:t>
      </w:r>
      <w:proofErr w:type="spellStart"/>
      <w:r w:rsidRPr="00A60786">
        <w:rPr>
          <w:rFonts w:eastAsia="TimesNewRomanPSMT"/>
          <w:sz w:val="20"/>
          <w:szCs w:val="20"/>
          <w:lang w:bidi="ar-SA"/>
        </w:rPr>
        <w:t>ÚNMZ</w:t>
      </w:r>
      <w:proofErr w:type="spellEnd"/>
      <w:r w:rsidRPr="00A60786">
        <w:rPr>
          <w:rFonts w:eastAsia="TimesNewRomanPSMT"/>
          <w:sz w:val="20"/>
          <w:szCs w:val="20"/>
          <w:lang w:bidi="ar-SA"/>
        </w:rPr>
        <w:t>“) oznamuje podle § 11 odst. 7 zákona</w:t>
      </w:r>
      <w:r>
        <w:rPr>
          <w:rFonts w:eastAsia="TimesNewRomanPSMT"/>
          <w:sz w:val="20"/>
          <w:szCs w:val="20"/>
          <w:lang w:bidi="ar-SA"/>
        </w:rPr>
        <w:t xml:space="preserve"> </w:t>
      </w:r>
      <w:r w:rsidRPr="00A60786">
        <w:rPr>
          <w:rFonts w:eastAsia="TimesNewRomanPSMT"/>
          <w:sz w:val="20"/>
          <w:szCs w:val="20"/>
          <w:lang w:bidi="ar-SA"/>
        </w:rPr>
        <w:t>č. 22/1997 Sb., o technických požadavcích na výrobky a o změně a doplnění některých zákonů, ve znění pozdějších předpisů,</w:t>
      </w:r>
      <w:r>
        <w:rPr>
          <w:rFonts w:eastAsia="TimesNewRomanPSMT"/>
          <w:sz w:val="20"/>
          <w:szCs w:val="20"/>
          <w:lang w:bidi="ar-SA"/>
        </w:rPr>
        <w:t xml:space="preserve"> </w:t>
      </w:r>
      <w:r w:rsidRPr="00A60786">
        <w:rPr>
          <w:rFonts w:eastAsia="TimesNewRomanPSMT"/>
          <w:sz w:val="20"/>
          <w:szCs w:val="20"/>
          <w:lang w:bidi="ar-SA"/>
        </w:rPr>
        <w:t xml:space="preserve">že svým rozhodnutím č. 2/2017 ze dne 12. května 2017 udělil autorizaci žadateli </w:t>
      </w:r>
      <w:r w:rsidRPr="00A60786">
        <w:rPr>
          <w:rFonts w:eastAsia="TimesNewRomanPS-BoldMT"/>
          <w:b/>
          <w:bCs/>
          <w:sz w:val="20"/>
          <w:szCs w:val="20"/>
          <w:lang w:bidi="ar-SA"/>
        </w:rPr>
        <w:t>Strojírenský zkušební ústav, s. p.</w:t>
      </w:r>
      <w:r w:rsidRPr="00A60786">
        <w:rPr>
          <w:rFonts w:eastAsia="TimesNewRomanPSMT"/>
          <w:sz w:val="20"/>
          <w:szCs w:val="20"/>
          <w:lang w:bidi="ar-SA"/>
        </w:rPr>
        <w:t>,</w:t>
      </w:r>
      <w:r>
        <w:rPr>
          <w:rFonts w:eastAsia="TimesNewRomanPSMT"/>
          <w:sz w:val="20"/>
          <w:szCs w:val="20"/>
          <w:lang w:bidi="ar-SA"/>
        </w:rPr>
        <w:t xml:space="preserve"> </w:t>
      </w:r>
      <w:r w:rsidRPr="00A60786">
        <w:rPr>
          <w:rFonts w:eastAsia="TimesNewRomanPSMT"/>
          <w:sz w:val="20"/>
          <w:szCs w:val="20"/>
          <w:lang w:bidi="ar-SA"/>
        </w:rPr>
        <w:t>Hudcova 424/</w:t>
      </w:r>
      <w:proofErr w:type="spellStart"/>
      <w:r w:rsidRPr="00A60786">
        <w:rPr>
          <w:rFonts w:eastAsia="TimesNewRomanPSMT"/>
          <w:sz w:val="20"/>
          <w:szCs w:val="20"/>
          <w:lang w:bidi="ar-SA"/>
        </w:rPr>
        <w:t>56b</w:t>
      </w:r>
      <w:proofErr w:type="spellEnd"/>
      <w:r w:rsidRPr="00A60786">
        <w:rPr>
          <w:rFonts w:eastAsia="TimesNewRomanPSMT"/>
          <w:sz w:val="20"/>
          <w:szCs w:val="20"/>
          <w:lang w:bidi="ar-SA"/>
        </w:rPr>
        <w:t xml:space="preserve">, 621 00 Brno, </w:t>
      </w:r>
      <w:proofErr w:type="spellStart"/>
      <w:r w:rsidRPr="00A60786">
        <w:rPr>
          <w:rFonts w:eastAsia="TimesNewRomanPSMT"/>
          <w:sz w:val="20"/>
          <w:szCs w:val="20"/>
          <w:lang w:bidi="ar-SA"/>
        </w:rPr>
        <w:t>IČ</w:t>
      </w:r>
      <w:proofErr w:type="spellEnd"/>
      <w:r w:rsidRPr="00A60786">
        <w:rPr>
          <w:rFonts w:eastAsia="TimesNewRomanPSMT"/>
          <w:sz w:val="20"/>
          <w:szCs w:val="20"/>
          <w:lang w:bidi="ar-SA"/>
        </w:rPr>
        <w:t xml:space="preserve"> 00001490 - autorizované osobě </w:t>
      </w:r>
      <w:proofErr w:type="spellStart"/>
      <w:r w:rsidRPr="00A60786">
        <w:rPr>
          <w:rFonts w:eastAsia="TimesNewRomanPS-BoldMT"/>
          <w:b/>
          <w:bCs/>
          <w:sz w:val="20"/>
          <w:szCs w:val="20"/>
          <w:lang w:bidi="ar-SA"/>
        </w:rPr>
        <w:t>AO</w:t>
      </w:r>
      <w:proofErr w:type="spellEnd"/>
      <w:r w:rsidRPr="00A60786">
        <w:rPr>
          <w:rFonts w:eastAsia="TimesNewRomanPS-BoldMT"/>
          <w:b/>
          <w:bCs/>
          <w:sz w:val="20"/>
          <w:szCs w:val="20"/>
          <w:lang w:bidi="ar-SA"/>
        </w:rPr>
        <w:t xml:space="preserve"> 202 </w:t>
      </w:r>
      <w:r w:rsidRPr="00A60786">
        <w:rPr>
          <w:rFonts w:eastAsia="TimesNewRomanPSMT"/>
          <w:sz w:val="20"/>
          <w:szCs w:val="20"/>
          <w:lang w:bidi="ar-SA"/>
        </w:rPr>
        <w:t>- k činnostem při posuzování shody ve smyslu</w:t>
      </w:r>
      <w:r>
        <w:rPr>
          <w:rFonts w:eastAsia="TimesNewRomanPSMT"/>
          <w:sz w:val="20"/>
          <w:szCs w:val="20"/>
          <w:lang w:bidi="ar-SA"/>
        </w:rPr>
        <w:t xml:space="preserve"> </w:t>
      </w:r>
      <w:r w:rsidRPr="00A60786">
        <w:rPr>
          <w:rFonts w:eastAsia="TimesNewRomanPSMT"/>
          <w:sz w:val="20"/>
          <w:szCs w:val="20"/>
          <w:lang w:bidi="ar-SA"/>
        </w:rPr>
        <w:t>ustanovení § 58 odst. 2, písmeno a) zákona č. 263/2016 Sb., atomový zákon, vybraných zařízení a jejich částí a materiálů</w:t>
      </w:r>
      <w:r>
        <w:rPr>
          <w:rFonts w:eastAsia="TimesNewRomanPSMT"/>
          <w:sz w:val="20"/>
          <w:szCs w:val="20"/>
          <w:lang w:bidi="ar-SA"/>
        </w:rPr>
        <w:t xml:space="preserve"> </w:t>
      </w:r>
      <w:r w:rsidRPr="00A60786">
        <w:rPr>
          <w:rFonts w:eastAsia="TimesNewRomanPSMT"/>
          <w:sz w:val="20"/>
          <w:szCs w:val="20"/>
          <w:lang w:bidi="ar-SA"/>
        </w:rPr>
        <w:t>podle vyhlášky č. 358/2016 Sb., o požadavcích na zajišťování kvality a technické bezpečnosti a posouzení a prověřování shody</w:t>
      </w:r>
      <w:r>
        <w:rPr>
          <w:rFonts w:eastAsia="TimesNewRomanPSMT"/>
          <w:sz w:val="20"/>
          <w:szCs w:val="20"/>
          <w:lang w:bidi="ar-SA"/>
        </w:rPr>
        <w:t xml:space="preserve"> </w:t>
      </w:r>
      <w:r w:rsidRPr="00A60786">
        <w:rPr>
          <w:rFonts w:eastAsia="TimesNewRomanPSMT"/>
          <w:sz w:val="20"/>
          <w:szCs w:val="20"/>
          <w:lang w:bidi="ar-SA"/>
        </w:rPr>
        <w:t>vybraných zařízení (dále jen „vyhláška“).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t>Rozsah tohoto pověření je vymezen pro vybraná zařízení a jejich části a materiály podle § 12 odst. 2 vyhlášky pro: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t>písmeno a) - body 1. a 2. – vybraná zařízení zařazená do bezpečnostní třídy 1,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t>písmeno b) - body 1., 2., 3., 4., a 5. (s výjimkou vybraných zařízení dle bodu 6.) – vybraná zařízení zařazená do bezpečnostní</w:t>
      </w:r>
      <w:r>
        <w:rPr>
          <w:rFonts w:eastAsia="TimesNewRomanPSMT"/>
          <w:sz w:val="20"/>
          <w:szCs w:val="20"/>
          <w:lang w:bidi="ar-SA"/>
        </w:rPr>
        <w:t xml:space="preserve"> </w:t>
      </w:r>
      <w:r w:rsidRPr="00A60786">
        <w:rPr>
          <w:rFonts w:eastAsia="TimesNewRomanPSMT"/>
          <w:sz w:val="20"/>
          <w:szCs w:val="20"/>
          <w:lang w:bidi="ar-SA"/>
        </w:rPr>
        <w:t>třídy 2,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t>písmeno c) - body 1., 2. a 3 - vybraná zařízení zařazená do bezpečnostní třídy 3;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t>Rozsah pověření je dále vymezen: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t>- pro jednotlivé postupy posouzení shody podle § 15 vyhlášky pro: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t>a) vybraná zařízení uvedená v § 12 odst. 2 písm. a) vyhlášky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t>1. postupy posouzení shody B a D (body č. 3. a 5. přílohy č. 7)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t>2. postupy posouzení shody B a F (body č. 3. a 9. přílohy č. 7) nebo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t>3. postup posouzení shody G (bod č. 10. přílohy č. 7),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t>b) vybraná zařízení uvedená v § 12 odst. 2 písm. b) bodech 1 až 4 vyhlášky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t xml:space="preserve">1. postupy posouzení shody </w:t>
      </w:r>
      <w:proofErr w:type="spellStart"/>
      <w:r w:rsidRPr="00A60786">
        <w:rPr>
          <w:rFonts w:eastAsia="TimesNewRomanPSMT"/>
          <w:sz w:val="20"/>
          <w:szCs w:val="20"/>
          <w:lang w:bidi="ar-SA"/>
        </w:rPr>
        <w:t>B1</w:t>
      </w:r>
      <w:proofErr w:type="spellEnd"/>
      <w:r w:rsidRPr="00A60786">
        <w:rPr>
          <w:rFonts w:eastAsia="TimesNewRomanPSMT"/>
          <w:sz w:val="20"/>
          <w:szCs w:val="20"/>
          <w:lang w:bidi="ar-SA"/>
        </w:rPr>
        <w:t xml:space="preserve"> a D (body č. 4. a 5. přílohy č. 7)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t xml:space="preserve">2. postupy posouzení shody </w:t>
      </w:r>
      <w:proofErr w:type="spellStart"/>
      <w:r w:rsidRPr="00A60786">
        <w:rPr>
          <w:rFonts w:eastAsia="TimesNewRomanPSMT"/>
          <w:sz w:val="20"/>
          <w:szCs w:val="20"/>
          <w:lang w:bidi="ar-SA"/>
        </w:rPr>
        <w:t>B1</w:t>
      </w:r>
      <w:proofErr w:type="spellEnd"/>
      <w:r w:rsidRPr="00A60786">
        <w:rPr>
          <w:rFonts w:eastAsia="TimesNewRomanPSMT"/>
          <w:sz w:val="20"/>
          <w:szCs w:val="20"/>
          <w:lang w:bidi="ar-SA"/>
        </w:rPr>
        <w:t xml:space="preserve"> a F (body č. 4. a 9. přílohy č. 7)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t>3. postupy posouzení shody B a E (body č. 3. a 7. přílohy č. 7) nebo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t>4. postup posouzení shody G (bod č. 10. přílohy č. 7)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t>c) vybraná zařízení uvedená v § 12 odst. 2 písm. b) bodě 5. vyhlášky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-BoldMT"/>
          <w:sz w:val="20"/>
          <w:szCs w:val="20"/>
          <w:lang w:bidi="ar-SA"/>
        </w:rPr>
        <w:t xml:space="preserve">o </w:t>
      </w:r>
      <w:r w:rsidRPr="00A60786">
        <w:rPr>
          <w:rFonts w:eastAsia="TimesNewRomanPSMT"/>
          <w:sz w:val="20"/>
          <w:szCs w:val="20"/>
          <w:lang w:bidi="ar-SA"/>
        </w:rPr>
        <w:t>postup posouzení shody F (bod č. 9. přílohy č. 7)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t>d) vybraná zařízení uvedená v § 12 odst. 2 písm. c) vyhlášky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t xml:space="preserve">1. postup posouzení shody </w:t>
      </w:r>
      <w:proofErr w:type="spellStart"/>
      <w:r w:rsidRPr="00A60786">
        <w:rPr>
          <w:rFonts w:eastAsia="TimesNewRomanPSMT"/>
          <w:sz w:val="20"/>
          <w:szCs w:val="20"/>
          <w:lang w:bidi="ar-SA"/>
        </w:rPr>
        <w:t>A1</w:t>
      </w:r>
      <w:proofErr w:type="spellEnd"/>
      <w:r w:rsidRPr="00A60786">
        <w:rPr>
          <w:rFonts w:eastAsia="TimesNewRomanPSMT"/>
          <w:sz w:val="20"/>
          <w:szCs w:val="20"/>
          <w:lang w:bidi="ar-SA"/>
        </w:rPr>
        <w:t xml:space="preserve"> (bod č. 2. přílohy č. 7)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t xml:space="preserve">2. postup posouzení shody </w:t>
      </w:r>
      <w:proofErr w:type="spellStart"/>
      <w:r w:rsidRPr="00A60786">
        <w:rPr>
          <w:rFonts w:eastAsia="TimesNewRomanPSMT"/>
          <w:sz w:val="20"/>
          <w:szCs w:val="20"/>
          <w:lang w:bidi="ar-SA"/>
        </w:rPr>
        <w:t>D1</w:t>
      </w:r>
      <w:proofErr w:type="spellEnd"/>
      <w:r w:rsidRPr="00A60786">
        <w:rPr>
          <w:rFonts w:eastAsia="TimesNewRomanPSMT"/>
          <w:sz w:val="20"/>
          <w:szCs w:val="20"/>
          <w:lang w:bidi="ar-SA"/>
        </w:rPr>
        <w:t xml:space="preserve"> (bod č. 6. přílohy č. 7)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t xml:space="preserve">3. postup posouzení shody </w:t>
      </w:r>
      <w:proofErr w:type="spellStart"/>
      <w:r w:rsidRPr="00A60786">
        <w:rPr>
          <w:rFonts w:eastAsia="TimesNewRomanPSMT"/>
          <w:sz w:val="20"/>
          <w:szCs w:val="20"/>
          <w:lang w:bidi="ar-SA"/>
        </w:rPr>
        <w:t>E1</w:t>
      </w:r>
      <w:proofErr w:type="spellEnd"/>
      <w:r w:rsidRPr="00A60786">
        <w:rPr>
          <w:rFonts w:eastAsia="TimesNewRomanPSMT"/>
          <w:sz w:val="20"/>
          <w:szCs w:val="20"/>
          <w:lang w:bidi="ar-SA"/>
        </w:rPr>
        <w:t xml:space="preserve"> (bod č. 8. přílohy č. 7) nebo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t>4. postup posouzení shody nebo kombinace postupů posouzení shody, je-li předepsána, uvedené v písmenu a) nebo b)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t>e) postupy posouzení shody v rozsahu části vybraného zařízení podle § 12 odst. 6 pro: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t>vybraná zařízení uvedená v § 12 odst. 2 písm. a) a b) vyhlášky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t xml:space="preserve">1. postup posouzení shody </w:t>
      </w:r>
      <w:proofErr w:type="spellStart"/>
      <w:r w:rsidRPr="00A60786">
        <w:rPr>
          <w:rFonts w:eastAsia="TimesNewRomanPSMT"/>
          <w:sz w:val="20"/>
          <w:szCs w:val="20"/>
          <w:lang w:bidi="ar-SA"/>
        </w:rPr>
        <w:t>D1</w:t>
      </w:r>
      <w:proofErr w:type="spellEnd"/>
      <w:r w:rsidRPr="00A60786">
        <w:rPr>
          <w:rFonts w:eastAsia="TimesNewRomanPSMT"/>
          <w:sz w:val="20"/>
          <w:szCs w:val="20"/>
          <w:lang w:bidi="ar-SA"/>
        </w:rPr>
        <w:t xml:space="preserve"> (bod č. 6. přílohy č. 7)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t xml:space="preserve">2. postup posouzení shody </w:t>
      </w:r>
      <w:proofErr w:type="spellStart"/>
      <w:r w:rsidRPr="00A60786">
        <w:rPr>
          <w:rFonts w:eastAsia="TimesNewRomanPSMT"/>
          <w:sz w:val="20"/>
          <w:szCs w:val="20"/>
          <w:lang w:bidi="ar-SA"/>
        </w:rPr>
        <w:t>E1</w:t>
      </w:r>
      <w:proofErr w:type="spellEnd"/>
      <w:r w:rsidRPr="00A60786">
        <w:rPr>
          <w:rFonts w:eastAsia="TimesNewRomanPSMT"/>
          <w:sz w:val="20"/>
          <w:szCs w:val="20"/>
          <w:lang w:bidi="ar-SA"/>
        </w:rPr>
        <w:t xml:space="preserve"> (bod č. 8. přílohy č. 7) nebo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t>3. postup posouzení shody G (bod č. 10. přílohy č. 7)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t>vybraná zařízení uvedená v § 12 odst. 2 písm. c) vyhlášky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t xml:space="preserve">1. postup posouzení shody </w:t>
      </w:r>
      <w:proofErr w:type="spellStart"/>
      <w:r w:rsidRPr="00A60786">
        <w:rPr>
          <w:rFonts w:eastAsia="TimesNewRomanPSMT"/>
          <w:sz w:val="20"/>
          <w:szCs w:val="20"/>
          <w:lang w:bidi="ar-SA"/>
        </w:rPr>
        <w:t>A1</w:t>
      </w:r>
      <w:proofErr w:type="spellEnd"/>
      <w:r w:rsidRPr="00A60786">
        <w:rPr>
          <w:rFonts w:eastAsia="TimesNewRomanPSMT"/>
          <w:sz w:val="20"/>
          <w:szCs w:val="20"/>
          <w:lang w:bidi="ar-SA"/>
        </w:rPr>
        <w:t xml:space="preserve"> (bod č. 2. přílohy č. 7)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lastRenderedPageBreak/>
        <w:t xml:space="preserve">2. postup posouzení shody </w:t>
      </w:r>
      <w:proofErr w:type="spellStart"/>
      <w:r w:rsidRPr="00A60786">
        <w:rPr>
          <w:rFonts w:eastAsia="TimesNewRomanPSMT"/>
          <w:sz w:val="20"/>
          <w:szCs w:val="20"/>
          <w:lang w:bidi="ar-SA"/>
        </w:rPr>
        <w:t>D1</w:t>
      </w:r>
      <w:proofErr w:type="spellEnd"/>
      <w:r w:rsidRPr="00A60786">
        <w:rPr>
          <w:rFonts w:eastAsia="TimesNewRomanPSMT"/>
          <w:sz w:val="20"/>
          <w:szCs w:val="20"/>
          <w:lang w:bidi="ar-SA"/>
        </w:rPr>
        <w:t xml:space="preserve"> (bod č. 6. přílohy č. 7) nebo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t xml:space="preserve">3. postup posouzení shody </w:t>
      </w:r>
      <w:proofErr w:type="spellStart"/>
      <w:r w:rsidRPr="00A60786">
        <w:rPr>
          <w:rFonts w:eastAsia="TimesNewRomanPSMT"/>
          <w:sz w:val="20"/>
          <w:szCs w:val="20"/>
          <w:lang w:bidi="ar-SA"/>
        </w:rPr>
        <w:t>E1</w:t>
      </w:r>
      <w:proofErr w:type="spellEnd"/>
      <w:r w:rsidRPr="00A60786">
        <w:rPr>
          <w:rFonts w:eastAsia="TimesNewRomanPSMT"/>
          <w:sz w:val="20"/>
          <w:szCs w:val="20"/>
          <w:lang w:bidi="ar-SA"/>
        </w:rPr>
        <w:t xml:space="preserve"> (bod č. 8. přílohy č. 7)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t>- dále pro rozsah a způsob prověřování shody provozovaných vybraných zařízení s technickými požadavky podle § 16 odst. 6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t>vyhlášky pro: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-BoldMT"/>
          <w:sz w:val="20"/>
          <w:szCs w:val="20"/>
          <w:lang w:bidi="ar-SA"/>
        </w:rPr>
        <w:t xml:space="preserve">o </w:t>
      </w:r>
      <w:r w:rsidRPr="00A60786">
        <w:rPr>
          <w:rFonts w:eastAsia="TimesNewRomanPSMT"/>
          <w:sz w:val="20"/>
          <w:szCs w:val="20"/>
          <w:lang w:bidi="ar-SA"/>
        </w:rPr>
        <w:t xml:space="preserve">ověření části vybraného zařízení – postup </w:t>
      </w:r>
      <w:proofErr w:type="spellStart"/>
      <w:r w:rsidRPr="00A60786">
        <w:rPr>
          <w:rFonts w:eastAsia="TimesNewRomanPSMT"/>
          <w:sz w:val="20"/>
          <w:szCs w:val="20"/>
          <w:lang w:bidi="ar-SA"/>
        </w:rPr>
        <w:t>F1</w:t>
      </w:r>
      <w:proofErr w:type="spellEnd"/>
      <w:r w:rsidRPr="00A60786">
        <w:rPr>
          <w:rFonts w:eastAsia="TimesNewRomanPSMT"/>
          <w:sz w:val="20"/>
          <w:szCs w:val="20"/>
          <w:lang w:bidi="ar-SA"/>
        </w:rPr>
        <w:t xml:space="preserve"> (příloha č. 8)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t>- a dále pak činnosti dle přílohy č. 2 části A vyhlášky: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Wingdings-Regular"/>
          <w:sz w:val="20"/>
          <w:szCs w:val="20"/>
          <w:lang w:bidi="ar-SA"/>
        </w:rPr>
        <w:t xml:space="preserve"> </w:t>
      </w:r>
      <w:r w:rsidRPr="00A60786">
        <w:rPr>
          <w:rFonts w:eastAsia="TimesNewRomanPSMT"/>
          <w:sz w:val="20"/>
          <w:szCs w:val="20"/>
          <w:lang w:bidi="ar-SA"/>
        </w:rPr>
        <w:t>Odsouhlasení pracovníků provádějících nerozebíratelné spoje a pracovních postupů</w:t>
      </w:r>
      <w:r>
        <w:rPr>
          <w:rFonts w:eastAsia="TimesNewRomanPSMT"/>
          <w:sz w:val="20"/>
          <w:szCs w:val="20"/>
          <w:lang w:bidi="ar-SA"/>
        </w:rPr>
        <w:t xml:space="preserve"> </w:t>
      </w:r>
      <w:r w:rsidRPr="00A60786">
        <w:rPr>
          <w:rFonts w:eastAsia="TimesNewRomanPSMT"/>
          <w:sz w:val="20"/>
          <w:szCs w:val="20"/>
          <w:lang w:bidi="ar-SA"/>
        </w:rPr>
        <w:t>(bod 6. 5.),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Wingdings-Regular"/>
          <w:sz w:val="20"/>
          <w:szCs w:val="20"/>
          <w:lang w:bidi="ar-SA"/>
        </w:rPr>
        <w:t xml:space="preserve"> </w:t>
      </w:r>
      <w:r w:rsidRPr="00A60786">
        <w:rPr>
          <w:rFonts w:eastAsia="TimesNewRomanPSMT"/>
          <w:sz w:val="20"/>
          <w:szCs w:val="20"/>
          <w:lang w:bidi="ar-SA"/>
        </w:rPr>
        <w:t>Kontroly navržených technologických postupů provedení nerozebíratelného spoje</w:t>
      </w:r>
      <w:r>
        <w:rPr>
          <w:rFonts w:eastAsia="TimesNewRomanPSMT"/>
          <w:sz w:val="20"/>
          <w:szCs w:val="20"/>
          <w:lang w:bidi="ar-SA"/>
        </w:rPr>
        <w:t xml:space="preserve"> </w:t>
      </w:r>
      <w:r w:rsidRPr="00A60786">
        <w:rPr>
          <w:rFonts w:eastAsia="TimesNewRomanPSMT"/>
          <w:sz w:val="20"/>
          <w:szCs w:val="20"/>
          <w:lang w:bidi="ar-SA"/>
        </w:rPr>
        <w:t>(bod 6. 6.),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Wingdings-Regular"/>
          <w:sz w:val="20"/>
          <w:szCs w:val="20"/>
          <w:lang w:bidi="ar-SA"/>
        </w:rPr>
        <w:t xml:space="preserve"> </w:t>
      </w:r>
      <w:r w:rsidRPr="00A60786">
        <w:rPr>
          <w:rFonts w:eastAsia="TimesNewRomanPSMT"/>
          <w:sz w:val="20"/>
          <w:szCs w:val="20"/>
          <w:lang w:bidi="ar-SA"/>
        </w:rPr>
        <w:t>Dohled nad prováděním kontrol (bod 6. 7.),</w:t>
      </w:r>
    </w:p>
    <w:p w:rsidR="00125DC0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Wingdings-Regular"/>
          <w:sz w:val="20"/>
          <w:szCs w:val="20"/>
          <w:lang w:bidi="ar-SA"/>
        </w:rPr>
        <w:t xml:space="preserve"> </w:t>
      </w:r>
      <w:r w:rsidRPr="00A60786">
        <w:rPr>
          <w:rFonts w:eastAsia="TimesNewRomanPSMT"/>
          <w:sz w:val="20"/>
          <w:szCs w:val="20"/>
          <w:lang w:bidi="ar-SA"/>
        </w:rPr>
        <w:t>Odsouhlasení pracovníků provádějících nedestruktivní kontroly nerozebíratelných spojů</w:t>
      </w:r>
      <w:r>
        <w:rPr>
          <w:rFonts w:eastAsia="TimesNewRomanPSMT"/>
          <w:sz w:val="20"/>
          <w:szCs w:val="20"/>
          <w:lang w:bidi="ar-SA"/>
        </w:rPr>
        <w:t xml:space="preserve"> </w:t>
      </w:r>
      <w:r w:rsidRPr="00A60786">
        <w:rPr>
          <w:rFonts w:eastAsia="TimesNewRomanPSMT"/>
          <w:sz w:val="20"/>
          <w:szCs w:val="20"/>
          <w:lang w:bidi="ar-SA"/>
        </w:rPr>
        <w:t>(bod 7. 2.),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t>Dohled nad tepelným zpracováním částí tlakových zařízení (bod 8. 3.),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t>Odsouhlasení pracovníků provádějících tepelné zpracování částí tlakového zařízení</w:t>
      </w:r>
      <w:r>
        <w:rPr>
          <w:rFonts w:eastAsia="TimesNewRomanPSMT"/>
          <w:sz w:val="20"/>
          <w:szCs w:val="20"/>
          <w:lang w:bidi="ar-SA"/>
        </w:rPr>
        <w:t xml:space="preserve"> </w:t>
      </w:r>
      <w:r w:rsidRPr="00A60786">
        <w:rPr>
          <w:rFonts w:eastAsia="TimesNewRomanPSMT"/>
          <w:sz w:val="20"/>
          <w:szCs w:val="20"/>
          <w:lang w:bidi="ar-SA"/>
        </w:rPr>
        <w:t>(bod 8. 4.),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t>Schvalování nových, základních a přídavných materiálů pro tlaková zařízení</w:t>
      </w:r>
      <w:r>
        <w:rPr>
          <w:rFonts w:eastAsia="TimesNewRomanPSMT"/>
          <w:sz w:val="20"/>
          <w:szCs w:val="20"/>
          <w:lang w:bidi="ar-SA"/>
        </w:rPr>
        <w:t xml:space="preserve"> </w:t>
      </w:r>
      <w:r w:rsidRPr="00A60786">
        <w:rPr>
          <w:rFonts w:eastAsia="TimesNewRomanPSMT"/>
          <w:sz w:val="20"/>
          <w:szCs w:val="20"/>
          <w:lang w:bidi="ar-SA"/>
        </w:rPr>
        <w:t>(bod 12. a bod 13. 6.),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t>Potvrzení posouzení materiálů z</w:t>
      </w:r>
      <w:r>
        <w:rPr>
          <w:rFonts w:eastAsia="TimesNewRomanPSMT"/>
          <w:sz w:val="20"/>
          <w:szCs w:val="20"/>
          <w:lang w:bidi="ar-SA"/>
        </w:rPr>
        <w:t xml:space="preserve"> </w:t>
      </w:r>
      <w:r w:rsidRPr="00A60786">
        <w:rPr>
          <w:rFonts w:eastAsia="TimesNewRomanPSMT"/>
          <w:sz w:val="20"/>
          <w:szCs w:val="20"/>
          <w:lang w:bidi="ar-SA"/>
        </w:rPr>
        <w:t>hlediska materiálové shody s technickou specifikací</w:t>
      </w:r>
      <w:r>
        <w:rPr>
          <w:rFonts w:eastAsia="TimesNewRomanPSMT"/>
          <w:sz w:val="20"/>
          <w:szCs w:val="20"/>
          <w:lang w:bidi="ar-SA"/>
        </w:rPr>
        <w:t xml:space="preserve"> </w:t>
      </w:r>
      <w:r w:rsidRPr="00A60786">
        <w:rPr>
          <w:rFonts w:eastAsia="TimesNewRomanPSMT"/>
          <w:sz w:val="20"/>
          <w:szCs w:val="20"/>
          <w:lang w:bidi="ar-SA"/>
        </w:rPr>
        <w:t>(bod 13. 9. 1.),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t>Kontroly vhodnosti materiálů pro tlaková zařízení</w:t>
      </w:r>
      <w:r>
        <w:rPr>
          <w:rFonts w:eastAsia="TimesNewRomanPSMT"/>
          <w:sz w:val="20"/>
          <w:szCs w:val="20"/>
          <w:lang w:bidi="ar-SA"/>
        </w:rPr>
        <w:t xml:space="preserve"> </w:t>
      </w:r>
      <w:r w:rsidRPr="00A60786">
        <w:rPr>
          <w:rFonts w:eastAsia="TimesNewRomanPSMT"/>
          <w:sz w:val="20"/>
          <w:szCs w:val="20"/>
          <w:lang w:bidi="ar-SA"/>
        </w:rPr>
        <w:t>(bod 13. 10.)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proofErr w:type="spellStart"/>
      <w:r w:rsidRPr="00A60786">
        <w:rPr>
          <w:rFonts w:eastAsia="TimesNewRomanPSMT"/>
          <w:sz w:val="20"/>
          <w:szCs w:val="20"/>
          <w:lang w:bidi="ar-SA"/>
        </w:rPr>
        <w:t>ÚNMZ</w:t>
      </w:r>
      <w:proofErr w:type="spellEnd"/>
      <w:r w:rsidRPr="00A60786">
        <w:rPr>
          <w:rFonts w:eastAsia="TimesNewRomanPSMT"/>
          <w:sz w:val="20"/>
          <w:szCs w:val="20"/>
          <w:lang w:bidi="ar-SA"/>
        </w:rPr>
        <w:t xml:space="preserve">:Mgr. Viktor </w:t>
      </w:r>
      <w:r w:rsidRPr="00A60786">
        <w:rPr>
          <w:rFonts w:eastAsia="TimesNewRomanPS-BoldMT"/>
          <w:b/>
          <w:bCs/>
          <w:sz w:val="20"/>
          <w:szCs w:val="20"/>
          <w:lang w:bidi="ar-SA"/>
        </w:rPr>
        <w:t xml:space="preserve">Pokorný </w:t>
      </w:r>
      <w:r w:rsidRPr="00A60786">
        <w:rPr>
          <w:rFonts w:eastAsia="TimesNewRomanPSMT"/>
          <w:sz w:val="20"/>
          <w:szCs w:val="20"/>
          <w:lang w:bidi="ar-SA"/>
        </w:rPr>
        <w:t>v. r.</w:t>
      </w:r>
    </w:p>
    <w:p w:rsidR="00A60786" w:rsidRDefault="00A60786" w:rsidP="00A60786">
      <w:pPr>
        <w:widowControl/>
        <w:suppressAutoHyphens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bidi="ar-SA"/>
        </w:rPr>
      </w:pP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center"/>
        <w:rPr>
          <w:rFonts w:eastAsia="TimesNewRomanPS-BoldMT"/>
          <w:b/>
          <w:bCs/>
          <w:sz w:val="20"/>
          <w:szCs w:val="20"/>
          <w:lang w:bidi="ar-SA"/>
        </w:rPr>
      </w:pPr>
      <w:r w:rsidRPr="00A60786">
        <w:rPr>
          <w:rFonts w:eastAsia="TimesNewRomanPS-BoldMT"/>
          <w:b/>
          <w:bCs/>
          <w:sz w:val="20"/>
          <w:szCs w:val="20"/>
          <w:lang w:bidi="ar-SA"/>
        </w:rPr>
        <w:t>OZNÁMENÍ č. 74/17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center"/>
        <w:rPr>
          <w:rFonts w:eastAsia="TimesNewRomanPS-BoldMT"/>
          <w:b/>
          <w:bCs/>
          <w:sz w:val="20"/>
          <w:szCs w:val="20"/>
          <w:lang w:bidi="ar-SA"/>
        </w:rPr>
      </w:pPr>
      <w:r w:rsidRPr="00A60786">
        <w:rPr>
          <w:rFonts w:eastAsia="TimesNewRomanPS-BoldMT"/>
          <w:b/>
          <w:bCs/>
          <w:sz w:val="20"/>
          <w:szCs w:val="20"/>
          <w:lang w:bidi="ar-SA"/>
        </w:rPr>
        <w:t>Úřadu pro technickou normalizaci, metrologii a státní zkušebnictví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center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t>o vzniku oprávnění oznámeného subjektu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t>Úřad pro technickou normalizaci, metrologii a státní zkušebnictví (dále jen „</w:t>
      </w:r>
      <w:proofErr w:type="spellStart"/>
      <w:r w:rsidRPr="00A60786">
        <w:rPr>
          <w:rFonts w:eastAsia="TimesNewRomanPSMT"/>
          <w:sz w:val="20"/>
          <w:szCs w:val="20"/>
          <w:lang w:bidi="ar-SA"/>
        </w:rPr>
        <w:t>ÚNMZ</w:t>
      </w:r>
      <w:proofErr w:type="spellEnd"/>
      <w:r w:rsidRPr="00A60786">
        <w:rPr>
          <w:rFonts w:eastAsia="TimesNewRomanPSMT"/>
          <w:sz w:val="20"/>
          <w:szCs w:val="20"/>
          <w:lang w:bidi="ar-SA"/>
        </w:rPr>
        <w:t>“) oznamuje podle § 20 odst. 2 zákona</w:t>
      </w:r>
      <w:r>
        <w:rPr>
          <w:rFonts w:eastAsia="TimesNewRomanPSMT"/>
          <w:sz w:val="20"/>
          <w:szCs w:val="20"/>
          <w:lang w:bidi="ar-SA"/>
        </w:rPr>
        <w:t xml:space="preserve"> </w:t>
      </w:r>
      <w:r w:rsidRPr="00A60786">
        <w:rPr>
          <w:rFonts w:eastAsia="TimesNewRomanPSMT"/>
          <w:sz w:val="20"/>
          <w:szCs w:val="20"/>
          <w:lang w:bidi="ar-SA"/>
        </w:rPr>
        <w:t>č. 90/2016 Sb., o posuzování shody stanovených výrobků při jejich dodávání na trh (dále jen „zákon“), vznik oprávnění žadatele</w:t>
      </w:r>
      <w:r>
        <w:rPr>
          <w:rFonts w:eastAsia="TimesNewRomanPSMT"/>
          <w:sz w:val="20"/>
          <w:szCs w:val="20"/>
          <w:lang w:bidi="ar-SA"/>
        </w:rPr>
        <w:t xml:space="preserve"> </w:t>
      </w:r>
      <w:proofErr w:type="spellStart"/>
      <w:r w:rsidRPr="00A60786">
        <w:rPr>
          <w:rFonts w:eastAsia="TimesNewRomanPS-BoldMT"/>
          <w:b/>
          <w:bCs/>
          <w:sz w:val="20"/>
          <w:szCs w:val="20"/>
          <w:lang w:bidi="ar-SA"/>
        </w:rPr>
        <w:t>TÜV</w:t>
      </w:r>
      <w:proofErr w:type="spellEnd"/>
      <w:r w:rsidRPr="00A60786">
        <w:rPr>
          <w:rFonts w:eastAsia="TimesNewRomanPS-BoldMT"/>
          <w:b/>
          <w:bCs/>
          <w:sz w:val="20"/>
          <w:szCs w:val="20"/>
          <w:lang w:bidi="ar-SA"/>
        </w:rPr>
        <w:t xml:space="preserve"> </w:t>
      </w:r>
      <w:proofErr w:type="spellStart"/>
      <w:r w:rsidRPr="00A60786">
        <w:rPr>
          <w:rFonts w:eastAsia="TimesNewRomanPS-BoldMT"/>
          <w:b/>
          <w:bCs/>
          <w:sz w:val="20"/>
          <w:szCs w:val="20"/>
          <w:lang w:bidi="ar-SA"/>
        </w:rPr>
        <w:t>Rheinland</w:t>
      </w:r>
      <w:proofErr w:type="spellEnd"/>
      <w:r w:rsidRPr="00A60786">
        <w:rPr>
          <w:rFonts w:eastAsia="TimesNewRomanPS-BoldMT"/>
          <w:b/>
          <w:bCs/>
          <w:sz w:val="20"/>
          <w:szCs w:val="20"/>
          <w:lang w:bidi="ar-SA"/>
        </w:rPr>
        <w:t xml:space="preserve"> Česká republika s.r.o.</w:t>
      </w:r>
      <w:r w:rsidRPr="00A60786">
        <w:rPr>
          <w:rFonts w:eastAsia="TimesNewRomanPSMT"/>
          <w:sz w:val="20"/>
          <w:szCs w:val="20"/>
          <w:lang w:bidi="ar-SA"/>
        </w:rPr>
        <w:t xml:space="preserve">, Pekařská 621/7, 155 00 Praha 5, </w:t>
      </w:r>
      <w:proofErr w:type="spellStart"/>
      <w:r w:rsidRPr="00A60786">
        <w:rPr>
          <w:rFonts w:eastAsia="TimesNewRomanPSMT"/>
          <w:sz w:val="20"/>
          <w:szCs w:val="20"/>
          <w:lang w:bidi="ar-SA"/>
        </w:rPr>
        <w:t>IČ</w:t>
      </w:r>
      <w:proofErr w:type="spellEnd"/>
      <w:r w:rsidRPr="00A60786">
        <w:rPr>
          <w:rFonts w:eastAsia="TimesNewRomanPSMT"/>
          <w:sz w:val="20"/>
          <w:szCs w:val="20"/>
          <w:lang w:bidi="ar-SA"/>
        </w:rPr>
        <w:t xml:space="preserve"> 26153289, provádět činnosti oznámeného subjektu</w:t>
      </w:r>
      <w:r>
        <w:rPr>
          <w:rFonts w:eastAsia="TimesNewRomanPSMT"/>
          <w:sz w:val="20"/>
          <w:szCs w:val="20"/>
          <w:lang w:bidi="ar-SA"/>
        </w:rPr>
        <w:t xml:space="preserve"> </w:t>
      </w:r>
      <w:r w:rsidRPr="00A60786">
        <w:rPr>
          <w:rFonts w:eastAsia="TimesNewRomanPSMT"/>
          <w:sz w:val="20"/>
          <w:szCs w:val="20"/>
          <w:lang w:bidi="ar-SA"/>
        </w:rPr>
        <w:t>v rozsahu pro posuzování shody výrobků dle zákona a nařízení vlády č. 219/2016 Sb., transponujícího směrnici Evropského</w:t>
      </w:r>
      <w:r>
        <w:rPr>
          <w:rFonts w:eastAsia="TimesNewRomanPSMT"/>
          <w:sz w:val="20"/>
          <w:szCs w:val="20"/>
          <w:lang w:bidi="ar-SA"/>
        </w:rPr>
        <w:t xml:space="preserve"> </w:t>
      </w:r>
      <w:r w:rsidRPr="00A60786">
        <w:rPr>
          <w:rFonts w:eastAsia="TimesNewRomanPSMT"/>
          <w:sz w:val="20"/>
          <w:szCs w:val="20"/>
          <w:lang w:bidi="ar-SA"/>
        </w:rPr>
        <w:t xml:space="preserve">parlamentu a Rady 2014/68/EU o harmonizaci právních předpisů členských států, o posuzování shody </w:t>
      </w:r>
      <w:r w:rsidRPr="00A60786">
        <w:rPr>
          <w:rFonts w:eastAsia="TimesNewRomanPS-BoldMT"/>
          <w:b/>
          <w:bCs/>
          <w:sz w:val="20"/>
          <w:szCs w:val="20"/>
          <w:lang w:bidi="ar-SA"/>
        </w:rPr>
        <w:t>tlakových zařízení při</w:t>
      </w:r>
      <w:r>
        <w:rPr>
          <w:rFonts w:eastAsia="TimesNewRomanPSMT"/>
          <w:sz w:val="20"/>
          <w:szCs w:val="20"/>
          <w:lang w:bidi="ar-SA"/>
        </w:rPr>
        <w:t xml:space="preserve"> </w:t>
      </w:r>
      <w:r w:rsidRPr="00A60786">
        <w:rPr>
          <w:rFonts w:eastAsia="TimesNewRomanPS-BoldMT"/>
          <w:b/>
          <w:bCs/>
          <w:sz w:val="20"/>
          <w:szCs w:val="20"/>
          <w:lang w:bidi="ar-SA"/>
        </w:rPr>
        <w:t xml:space="preserve">jejich dodávání na trh </w:t>
      </w:r>
      <w:r w:rsidRPr="00A60786">
        <w:rPr>
          <w:rFonts w:eastAsia="TimesNewRomanPSMT"/>
          <w:sz w:val="20"/>
          <w:szCs w:val="20"/>
          <w:lang w:bidi="ar-SA"/>
        </w:rPr>
        <w:t>(dále jen „</w:t>
      </w:r>
      <w:proofErr w:type="spellStart"/>
      <w:r w:rsidRPr="00A60786">
        <w:rPr>
          <w:rFonts w:eastAsia="TimesNewRomanPSMT"/>
          <w:sz w:val="20"/>
          <w:szCs w:val="20"/>
          <w:lang w:bidi="ar-SA"/>
        </w:rPr>
        <w:t>NV</w:t>
      </w:r>
      <w:proofErr w:type="spellEnd"/>
      <w:r w:rsidRPr="00A60786">
        <w:rPr>
          <w:rFonts w:eastAsia="TimesNewRomanPSMT"/>
          <w:sz w:val="20"/>
          <w:szCs w:val="20"/>
          <w:lang w:bidi="ar-SA"/>
        </w:rPr>
        <w:t xml:space="preserve"> 219“).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t xml:space="preserve">Rozsah oprávnění se vztahuje na činnosti při posuzování shody výrobků vymezených podle § 1 odst. 2 </w:t>
      </w:r>
      <w:proofErr w:type="spellStart"/>
      <w:r w:rsidRPr="00A60786">
        <w:rPr>
          <w:rFonts w:eastAsia="TimesNewRomanPSMT"/>
          <w:sz w:val="20"/>
          <w:szCs w:val="20"/>
          <w:lang w:bidi="ar-SA"/>
        </w:rPr>
        <w:t>NV</w:t>
      </w:r>
      <w:proofErr w:type="spellEnd"/>
      <w:r w:rsidRPr="00A60786">
        <w:rPr>
          <w:rFonts w:eastAsia="TimesNewRomanPSMT"/>
          <w:sz w:val="20"/>
          <w:szCs w:val="20"/>
          <w:lang w:bidi="ar-SA"/>
        </w:rPr>
        <w:t xml:space="preserve"> 219, pro postupy</w:t>
      </w:r>
      <w:r>
        <w:rPr>
          <w:rFonts w:eastAsia="TimesNewRomanPSMT"/>
          <w:sz w:val="20"/>
          <w:szCs w:val="20"/>
          <w:lang w:bidi="ar-SA"/>
        </w:rPr>
        <w:t xml:space="preserve"> </w:t>
      </w:r>
      <w:r w:rsidRPr="00A60786">
        <w:rPr>
          <w:rFonts w:eastAsia="TimesNewRomanPSMT"/>
          <w:sz w:val="20"/>
          <w:szCs w:val="20"/>
          <w:lang w:bidi="ar-SA"/>
        </w:rPr>
        <w:t xml:space="preserve">posuzování shody/moduly uvedené v § 11 </w:t>
      </w:r>
      <w:proofErr w:type="spellStart"/>
      <w:r w:rsidRPr="00A60786">
        <w:rPr>
          <w:rFonts w:eastAsia="TimesNewRomanPSMT"/>
          <w:sz w:val="20"/>
          <w:szCs w:val="20"/>
          <w:lang w:bidi="ar-SA"/>
        </w:rPr>
        <w:t>NV</w:t>
      </w:r>
      <w:proofErr w:type="spellEnd"/>
      <w:r w:rsidRPr="00A60786">
        <w:rPr>
          <w:rFonts w:eastAsia="TimesNewRomanPSMT"/>
          <w:sz w:val="20"/>
          <w:szCs w:val="20"/>
          <w:lang w:bidi="ar-SA"/>
        </w:rPr>
        <w:t xml:space="preserve"> 219 a specifikované v příloze č. 3 k tomuto nařízení vlády: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t xml:space="preserve">Bod 2. </w:t>
      </w:r>
      <w:r w:rsidRPr="00A60786">
        <w:rPr>
          <w:rFonts w:eastAsia="TimesNewRomanPS-BoldMT"/>
          <w:b/>
          <w:bCs/>
          <w:sz w:val="20"/>
          <w:szCs w:val="20"/>
          <w:lang w:bidi="ar-SA"/>
        </w:rPr>
        <w:t xml:space="preserve">MODUL </w:t>
      </w:r>
      <w:proofErr w:type="spellStart"/>
      <w:r w:rsidRPr="00A60786">
        <w:rPr>
          <w:rFonts w:eastAsia="TimesNewRomanPS-BoldMT"/>
          <w:b/>
          <w:bCs/>
          <w:sz w:val="20"/>
          <w:szCs w:val="20"/>
          <w:lang w:bidi="ar-SA"/>
        </w:rPr>
        <w:t>A2</w:t>
      </w:r>
      <w:proofErr w:type="spellEnd"/>
      <w:r w:rsidRPr="00A60786">
        <w:rPr>
          <w:rFonts w:eastAsia="TimesNewRomanPSMT"/>
          <w:sz w:val="20"/>
          <w:szCs w:val="20"/>
          <w:lang w:bidi="ar-SA"/>
        </w:rPr>
        <w:t>: Interní řízení výroby s kontrolami tlakových zařízení pod dohledem v náhodně zvolených intervalech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t xml:space="preserve">Bod 3. </w:t>
      </w:r>
      <w:r w:rsidRPr="00A60786">
        <w:rPr>
          <w:rFonts w:eastAsia="TimesNewRomanPS-BoldMT"/>
          <w:b/>
          <w:bCs/>
          <w:sz w:val="20"/>
          <w:szCs w:val="20"/>
          <w:lang w:bidi="ar-SA"/>
        </w:rPr>
        <w:t>MODUL B</w:t>
      </w:r>
      <w:r w:rsidRPr="00A60786">
        <w:rPr>
          <w:rFonts w:eastAsia="TimesNewRomanPSMT"/>
          <w:sz w:val="20"/>
          <w:szCs w:val="20"/>
          <w:lang w:bidi="ar-SA"/>
        </w:rPr>
        <w:t>: EU přezkoušení typu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t xml:space="preserve">Bod 4. </w:t>
      </w:r>
      <w:r w:rsidRPr="00A60786">
        <w:rPr>
          <w:rFonts w:eastAsia="TimesNewRomanPS-BoldMT"/>
          <w:b/>
          <w:bCs/>
          <w:sz w:val="20"/>
          <w:szCs w:val="20"/>
          <w:lang w:bidi="ar-SA"/>
        </w:rPr>
        <w:t xml:space="preserve">MODUL </w:t>
      </w:r>
      <w:proofErr w:type="spellStart"/>
      <w:r w:rsidRPr="00A60786">
        <w:rPr>
          <w:rFonts w:eastAsia="TimesNewRomanPS-BoldMT"/>
          <w:b/>
          <w:bCs/>
          <w:sz w:val="20"/>
          <w:szCs w:val="20"/>
          <w:lang w:bidi="ar-SA"/>
        </w:rPr>
        <w:t>C2</w:t>
      </w:r>
      <w:proofErr w:type="spellEnd"/>
      <w:r w:rsidRPr="00A60786">
        <w:rPr>
          <w:rFonts w:eastAsia="TimesNewRomanPSMT"/>
          <w:sz w:val="20"/>
          <w:szCs w:val="20"/>
          <w:lang w:bidi="ar-SA"/>
        </w:rPr>
        <w:t>: Shoda s typem založená na interním řízení výroby s kontrolami tlakových zařízení pod dohledem v</w:t>
      </w:r>
      <w:r>
        <w:rPr>
          <w:rFonts w:eastAsia="TimesNewRomanPSMT"/>
          <w:sz w:val="20"/>
          <w:szCs w:val="20"/>
          <w:lang w:bidi="ar-SA"/>
        </w:rPr>
        <w:t> </w:t>
      </w:r>
      <w:r w:rsidRPr="00A60786">
        <w:rPr>
          <w:rFonts w:eastAsia="TimesNewRomanPSMT"/>
          <w:sz w:val="20"/>
          <w:szCs w:val="20"/>
          <w:lang w:bidi="ar-SA"/>
        </w:rPr>
        <w:t>náhodně</w:t>
      </w:r>
      <w:r>
        <w:rPr>
          <w:rFonts w:eastAsia="TimesNewRomanPSMT"/>
          <w:sz w:val="20"/>
          <w:szCs w:val="20"/>
          <w:lang w:bidi="ar-SA"/>
        </w:rPr>
        <w:t xml:space="preserve"> </w:t>
      </w:r>
      <w:r w:rsidRPr="00A60786">
        <w:rPr>
          <w:rFonts w:eastAsia="TimesNewRomanPSMT"/>
          <w:sz w:val="20"/>
          <w:szCs w:val="20"/>
          <w:lang w:bidi="ar-SA"/>
        </w:rPr>
        <w:t>zvolených intervalech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t xml:space="preserve">Bod 5. </w:t>
      </w:r>
      <w:r w:rsidRPr="00A60786">
        <w:rPr>
          <w:rFonts w:eastAsia="TimesNewRomanPS-BoldMT"/>
          <w:b/>
          <w:bCs/>
          <w:sz w:val="20"/>
          <w:szCs w:val="20"/>
          <w:lang w:bidi="ar-SA"/>
        </w:rPr>
        <w:t>MODUL D</w:t>
      </w:r>
      <w:r w:rsidRPr="00A60786">
        <w:rPr>
          <w:rFonts w:eastAsia="TimesNewRomanPSMT"/>
          <w:sz w:val="20"/>
          <w:szCs w:val="20"/>
          <w:lang w:bidi="ar-SA"/>
        </w:rPr>
        <w:t>: Shoda s typem založená na zabezpečování kvality výrobního procesu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t xml:space="preserve">Bod 6. </w:t>
      </w:r>
      <w:r w:rsidRPr="00A60786">
        <w:rPr>
          <w:rFonts w:eastAsia="TimesNewRomanPS-BoldMT"/>
          <w:b/>
          <w:bCs/>
          <w:sz w:val="20"/>
          <w:szCs w:val="20"/>
          <w:lang w:bidi="ar-SA"/>
        </w:rPr>
        <w:t xml:space="preserve">MODUL </w:t>
      </w:r>
      <w:proofErr w:type="spellStart"/>
      <w:r w:rsidRPr="00A60786">
        <w:rPr>
          <w:rFonts w:eastAsia="TimesNewRomanPS-BoldMT"/>
          <w:b/>
          <w:bCs/>
          <w:sz w:val="20"/>
          <w:szCs w:val="20"/>
          <w:lang w:bidi="ar-SA"/>
        </w:rPr>
        <w:t>D1</w:t>
      </w:r>
      <w:proofErr w:type="spellEnd"/>
      <w:r w:rsidRPr="00A60786">
        <w:rPr>
          <w:rFonts w:eastAsia="TimesNewRomanPSMT"/>
          <w:sz w:val="20"/>
          <w:szCs w:val="20"/>
          <w:lang w:bidi="ar-SA"/>
        </w:rPr>
        <w:t>: Zabezpečování kvality výrobního procesu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t xml:space="preserve">Bod 7. </w:t>
      </w:r>
      <w:r w:rsidRPr="00A60786">
        <w:rPr>
          <w:rFonts w:eastAsia="TimesNewRomanPS-BoldMT"/>
          <w:b/>
          <w:bCs/>
          <w:sz w:val="20"/>
          <w:szCs w:val="20"/>
          <w:lang w:bidi="ar-SA"/>
        </w:rPr>
        <w:t>MODUL E</w:t>
      </w:r>
      <w:r w:rsidRPr="00A60786">
        <w:rPr>
          <w:rFonts w:eastAsia="TimesNewRomanPSMT"/>
          <w:sz w:val="20"/>
          <w:szCs w:val="20"/>
          <w:lang w:bidi="ar-SA"/>
        </w:rPr>
        <w:t>: Shoda s typem založená na zabezpečování kvality tlakových zařízení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t xml:space="preserve">Bod 8. </w:t>
      </w:r>
      <w:r w:rsidRPr="00A60786">
        <w:rPr>
          <w:rFonts w:eastAsia="TimesNewRomanPS-BoldMT"/>
          <w:b/>
          <w:bCs/>
          <w:sz w:val="20"/>
          <w:szCs w:val="20"/>
          <w:lang w:bidi="ar-SA"/>
        </w:rPr>
        <w:t xml:space="preserve">MODUL </w:t>
      </w:r>
      <w:proofErr w:type="spellStart"/>
      <w:r w:rsidRPr="00A60786">
        <w:rPr>
          <w:rFonts w:eastAsia="TimesNewRomanPS-BoldMT"/>
          <w:b/>
          <w:bCs/>
          <w:sz w:val="20"/>
          <w:szCs w:val="20"/>
          <w:lang w:bidi="ar-SA"/>
        </w:rPr>
        <w:t>E1</w:t>
      </w:r>
      <w:proofErr w:type="spellEnd"/>
      <w:r w:rsidRPr="00A60786">
        <w:rPr>
          <w:rFonts w:eastAsia="TimesNewRomanPSMT"/>
          <w:sz w:val="20"/>
          <w:szCs w:val="20"/>
          <w:lang w:bidi="ar-SA"/>
        </w:rPr>
        <w:t>: Zabezpečování kvality výstupní kontroly a zkoušek tlakových zařízení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t xml:space="preserve">Bod 9. </w:t>
      </w:r>
      <w:r w:rsidRPr="00A60786">
        <w:rPr>
          <w:rFonts w:eastAsia="TimesNewRomanPS-BoldMT"/>
          <w:b/>
          <w:bCs/>
          <w:sz w:val="20"/>
          <w:szCs w:val="20"/>
          <w:lang w:bidi="ar-SA"/>
        </w:rPr>
        <w:t>MODUL F</w:t>
      </w:r>
      <w:r w:rsidRPr="00A60786">
        <w:rPr>
          <w:rFonts w:eastAsia="TimesNewRomanPSMT"/>
          <w:sz w:val="20"/>
          <w:szCs w:val="20"/>
          <w:lang w:bidi="ar-SA"/>
        </w:rPr>
        <w:t>: Shoda s typem založená na ověřování tlakových zařízení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t xml:space="preserve">Bod 10. </w:t>
      </w:r>
      <w:r w:rsidRPr="00A60786">
        <w:rPr>
          <w:rFonts w:eastAsia="TimesNewRomanPS-BoldMT"/>
          <w:b/>
          <w:bCs/>
          <w:sz w:val="20"/>
          <w:szCs w:val="20"/>
          <w:lang w:bidi="ar-SA"/>
        </w:rPr>
        <w:t>MODUL G</w:t>
      </w:r>
      <w:r w:rsidRPr="00A60786">
        <w:rPr>
          <w:rFonts w:eastAsia="TimesNewRomanPSMT"/>
          <w:sz w:val="20"/>
          <w:szCs w:val="20"/>
          <w:lang w:bidi="ar-SA"/>
        </w:rPr>
        <w:t>: Shoda založená na ověřování každého jednotlivého výrobku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t xml:space="preserve">Bod 11. </w:t>
      </w:r>
      <w:r w:rsidRPr="00A60786">
        <w:rPr>
          <w:rFonts w:eastAsia="TimesNewRomanPS-BoldMT"/>
          <w:b/>
          <w:bCs/>
          <w:sz w:val="20"/>
          <w:szCs w:val="20"/>
          <w:lang w:bidi="ar-SA"/>
        </w:rPr>
        <w:t>MODUL H</w:t>
      </w:r>
      <w:r w:rsidRPr="00A60786">
        <w:rPr>
          <w:rFonts w:eastAsia="TimesNewRomanPSMT"/>
          <w:sz w:val="20"/>
          <w:szCs w:val="20"/>
          <w:lang w:bidi="ar-SA"/>
        </w:rPr>
        <w:t>: Shoda založená na úplném zabezpečování kvality</w:t>
      </w:r>
    </w:p>
    <w:p w:rsidR="00256E88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lastRenderedPageBreak/>
        <w:t xml:space="preserve">Bod 12. </w:t>
      </w:r>
      <w:r w:rsidRPr="00A60786">
        <w:rPr>
          <w:rFonts w:eastAsia="TimesNewRomanPS-BoldMT"/>
          <w:b/>
          <w:bCs/>
          <w:sz w:val="20"/>
          <w:szCs w:val="20"/>
          <w:lang w:bidi="ar-SA"/>
        </w:rPr>
        <w:t xml:space="preserve">MODUL </w:t>
      </w:r>
      <w:proofErr w:type="spellStart"/>
      <w:r w:rsidRPr="00A60786">
        <w:rPr>
          <w:rFonts w:eastAsia="TimesNewRomanPS-BoldMT"/>
          <w:b/>
          <w:bCs/>
          <w:sz w:val="20"/>
          <w:szCs w:val="20"/>
          <w:lang w:bidi="ar-SA"/>
        </w:rPr>
        <w:t>H1</w:t>
      </w:r>
      <w:proofErr w:type="spellEnd"/>
      <w:r w:rsidRPr="00A60786">
        <w:rPr>
          <w:rFonts w:eastAsia="TimesNewRomanPSMT"/>
          <w:sz w:val="20"/>
          <w:szCs w:val="20"/>
          <w:lang w:bidi="ar-SA"/>
        </w:rPr>
        <w:t>: Shoda založená na úplném zabezpečování kvality s přezkoumáním návrhu</w:t>
      </w:r>
      <w:r w:rsidR="00256E88">
        <w:rPr>
          <w:rFonts w:eastAsia="TimesNewRomanPSMT"/>
          <w:sz w:val="20"/>
          <w:szCs w:val="20"/>
          <w:lang w:bidi="ar-SA"/>
        </w:rPr>
        <w:t>.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proofErr w:type="spellStart"/>
      <w:r w:rsidRPr="00A60786">
        <w:rPr>
          <w:rFonts w:eastAsia="TimesNewRomanPS-BoldMT"/>
          <w:b/>
          <w:bCs/>
          <w:sz w:val="20"/>
          <w:szCs w:val="20"/>
          <w:lang w:bidi="ar-SA"/>
        </w:rPr>
        <w:t>TÜV</w:t>
      </w:r>
      <w:proofErr w:type="spellEnd"/>
      <w:r w:rsidRPr="00A60786">
        <w:rPr>
          <w:rFonts w:eastAsia="TimesNewRomanPS-BoldMT"/>
          <w:b/>
          <w:bCs/>
          <w:sz w:val="20"/>
          <w:szCs w:val="20"/>
          <w:lang w:bidi="ar-SA"/>
        </w:rPr>
        <w:t xml:space="preserve"> </w:t>
      </w:r>
      <w:proofErr w:type="spellStart"/>
      <w:r w:rsidRPr="00A60786">
        <w:rPr>
          <w:rFonts w:eastAsia="TimesNewRomanPS-BoldMT"/>
          <w:b/>
          <w:bCs/>
          <w:sz w:val="20"/>
          <w:szCs w:val="20"/>
          <w:lang w:bidi="ar-SA"/>
        </w:rPr>
        <w:t>Rheinland</w:t>
      </w:r>
      <w:proofErr w:type="spellEnd"/>
      <w:r w:rsidRPr="00A60786">
        <w:rPr>
          <w:rFonts w:eastAsia="TimesNewRomanPS-BoldMT"/>
          <w:b/>
          <w:bCs/>
          <w:sz w:val="20"/>
          <w:szCs w:val="20"/>
          <w:lang w:bidi="ar-SA"/>
        </w:rPr>
        <w:t xml:space="preserve"> Česká republika s.r.o.</w:t>
      </w:r>
      <w:r w:rsidRPr="00A60786">
        <w:rPr>
          <w:rFonts w:eastAsia="TimesNewRomanPSMT"/>
          <w:sz w:val="20"/>
          <w:szCs w:val="20"/>
          <w:lang w:bidi="ar-SA"/>
        </w:rPr>
        <w:t>, je na základě oznámení Evropské komisi a členským státům EU a následného sdělení</w:t>
      </w:r>
      <w:r>
        <w:rPr>
          <w:rFonts w:eastAsia="TimesNewRomanPSMT"/>
          <w:sz w:val="20"/>
          <w:szCs w:val="20"/>
          <w:lang w:bidi="ar-SA"/>
        </w:rPr>
        <w:t xml:space="preserve"> </w:t>
      </w:r>
      <w:r w:rsidRPr="00A60786">
        <w:rPr>
          <w:rFonts w:eastAsia="TimesNewRomanPSMT"/>
          <w:sz w:val="20"/>
          <w:szCs w:val="20"/>
          <w:lang w:bidi="ar-SA"/>
        </w:rPr>
        <w:t xml:space="preserve">z EU o zveřejnění z </w:t>
      </w:r>
      <w:r w:rsidRPr="00A60786">
        <w:rPr>
          <w:rFonts w:eastAsia="TimesNewRomanPS-BoldMT"/>
          <w:b/>
          <w:bCs/>
          <w:sz w:val="20"/>
          <w:szCs w:val="20"/>
          <w:lang w:bidi="ar-SA"/>
        </w:rPr>
        <w:t xml:space="preserve">14. května 2017 </w:t>
      </w:r>
      <w:r w:rsidRPr="00A60786">
        <w:rPr>
          <w:rFonts w:eastAsia="TimesNewRomanPSMT"/>
          <w:sz w:val="20"/>
          <w:szCs w:val="20"/>
          <w:lang w:bidi="ar-SA"/>
        </w:rPr>
        <w:t>od tohoto dne oprávněn zahájit provádění činností oznámeného subjektu s</w:t>
      </w:r>
      <w:r>
        <w:rPr>
          <w:rFonts w:eastAsia="TimesNewRomanPSMT"/>
          <w:sz w:val="20"/>
          <w:szCs w:val="20"/>
          <w:lang w:bidi="ar-SA"/>
        </w:rPr>
        <w:t> </w:t>
      </w:r>
      <w:r w:rsidRPr="00A60786">
        <w:rPr>
          <w:rFonts w:eastAsia="TimesNewRomanPSMT"/>
          <w:sz w:val="20"/>
          <w:szCs w:val="20"/>
          <w:lang w:bidi="ar-SA"/>
        </w:rPr>
        <w:t>identifikačním</w:t>
      </w:r>
      <w:r>
        <w:rPr>
          <w:rFonts w:eastAsia="TimesNewRomanPSMT"/>
          <w:sz w:val="20"/>
          <w:szCs w:val="20"/>
          <w:lang w:bidi="ar-SA"/>
        </w:rPr>
        <w:t xml:space="preserve"> </w:t>
      </w:r>
      <w:r w:rsidRPr="00A60786">
        <w:rPr>
          <w:rFonts w:eastAsia="TimesNewRomanPSMT"/>
          <w:sz w:val="20"/>
          <w:szCs w:val="20"/>
          <w:lang w:bidi="ar-SA"/>
        </w:rPr>
        <w:t xml:space="preserve">číslem </w:t>
      </w:r>
      <w:r w:rsidRPr="00A60786">
        <w:rPr>
          <w:rFonts w:eastAsia="TimesNewRomanPS-BoldMT"/>
          <w:b/>
          <w:bCs/>
          <w:sz w:val="20"/>
          <w:szCs w:val="20"/>
          <w:lang w:bidi="ar-SA"/>
        </w:rPr>
        <w:t xml:space="preserve">2595 </w:t>
      </w:r>
      <w:r w:rsidRPr="00A60786">
        <w:rPr>
          <w:rFonts w:eastAsia="TimesNewRomanPSMT"/>
          <w:sz w:val="20"/>
          <w:szCs w:val="20"/>
          <w:lang w:bidi="ar-SA"/>
        </w:rPr>
        <w:t>v následujícím rozsahu.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MT"/>
          <w:sz w:val="20"/>
          <w:szCs w:val="20"/>
          <w:lang w:bidi="ar-SA"/>
        </w:rPr>
        <w:t>Rozsah oprávnění se rovněž vztahuje na činnosti oznámeného subjektu při:</w:t>
      </w: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r w:rsidRPr="00A60786">
        <w:rPr>
          <w:rFonts w:eastAsia="TimesNewRomanPS-BoldMT"/>
          <w:sz w:val="20"/>
          <w:szCs w:val="20"/>
          <w:lang w:bidi="ar-SA"/>
        </w:rPr>
        <w:t xml:space="preserve">- </w:t>
      </w:r>
      <w:r w:rsidRPr="00A60786">
        <w:rPr>
          <w:rFonts w:eastAsia="TimesNewRomanPSMT"/>
          <w:sz w:val="20"/>
          <w:szCs w:val="20"/>
          <w:lang w:bidi="ar-SA"/>
        </w:rPr>
        <w:t xml:space="preserve">schvalování pracovních postupů i pracovníků pro nerozebíratelné spoje dle bodu 3.1.2. přílohy č. 1 k </w:t>
      </w:r>
      <w:proofErr w:type="spellStart"/>
      <w:r w:rsidRPr="00A60786">
        <w:rPr>
          <w:rFonts w:eastAsia="TimesNewRomanPSMT"/>
          <w:sz w:val="20"/>
          <w:szCs w:val="20"/>
          <w:lang w:bidi="ar-SA"/>
        </w:rPr>
        <w:t>NV</w:t>
      </w:r>
      <w:proofErr w:type="spellEnd"/>
      <w:r w:rsidRPr="00A60786">
        <w:rPr>
          <w:rFonts w:eastAsia="TimesNewRomanPSMT"/>
          <w:sz w:val="20"/>
          <w:szCs w:val="20"/>
          <w:lang w:bidi="ar-SA"/>
        </w:rPr>
        <w:t xml:space="preserve"> 219.</w:t>
      </w:r>
    </w:p>
    <w:p w:rsid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</w:p>
    <w:p w:rsidR="00A60786" w:rsidRPr="00A60786" w:rsidRDefault="00A60786" w:rsidP="00A60786">
      <w:pPr>
        <w:widowControl/>
        <w:suppressAutoHyphens w:val="0"/>
        <w:autoSpaceDN w:val="0"/>
        <w:adjustRightInd w:val="0"/>
        <w:jc w:val="both"/>
        <w:rPr>
          <w:rFonts w:eastAsia="TimesNewRomanPSMT"/>
          <w:sz w:val="20"/>
          <w:szCs w:val="20"/>
          <w:lang w:bidi="ar-SA"/>
        </w:rPr>
      </w:pPr>
      <w:proofErr w:type="spellStart"/>
      <w:r w:rsidRPr="00A60786">
        <w:rPr>
          <w:rFonts w:eastAsia="TimesNewRomanPSMT"/>
          <w:sz w:val="20"/>
          <w:szCs w:val="20"/>
          <w:lang w:bidi="ar-SA"/>
        </w:rPr>
        <w:t>ÚNMZ</w:t>
      </w:r>
      <w:proofErr w:type="spellEnd"/>
      <w:r w:rsidRPr="00A60786">
        <w:rPr>
          <w:rFonts w:eastAsia="TimesNewRomanPSMT"/>
          <w:sz w:val="20"/>
          <w:szCs w:val="20"/>
          <w:lang w:bidi="ar-SA"/>
        </w:rPr>
        <w:t>:</w:t>
      </w:r>
      <w:r>
        <w:rPr>
          <w:rFonts w:eastAsia="TimesNewRomanPSMT"/>
          <w:sz w:val="20"/>
          <w:szCs w:val="20"/>
          <w:lang w:bidi="ar-SA"/>
        </w:rPr>
        <w:t xml:space="preserve"> </w:t>
      </w:r>
      <w:r w:rsidRPr="00A60786">
        <w:rPr>
          <w:rFonts w:eastAsia="TimesNewRomanPSMT"/>
          <w:sz w:val="20"/>
          <w:szCs w:val="20"/>
          <w:lang w:bidi="ar-SA"/>
        </w:rPr>
        <w:t xml:space="preserve">Mgr. Viktor </w:t>
      </w:r>
      <w:r w:rsidRPr="00A60786">
        <w:rPr>
          <w:rFonts w:eastAsia="TimesNewRomanPS-BoldMT"/>
          <w:b/>
          <w:bCs/>
          <w:sz w:val="20"/>
          <w:szCs w:val="20"/>
          <w:lang w:bidi="ar-SA"/>
        </w:rPr>
        <w:t xml:space="preserve">Pokorný </w:t>
      </w:r>
      <w:r w:rsidRPr="00A60786">
        <w:rPr>
          <w:rFonts w:eastAsia="TimesNewRomanPSMT"/>
          <w:sz w:val="20"/>
          <w:szCs w:val="20"/>
          <w:lang w:bidi="ar-SA"/>
        </w:rPr>
        <w:t>v. r.</w:t>
      </w:r>
    </w:p>
    <w:sectPr w:rsidR="00A60786" w:rsidRPr="00A60786" w:rsidSect="0042708A">
      <w:footerReference w:type="default" r:id="rId8"/>
      <w:pgSz w:w="15840" w:h="12240" w:orient="landscape"/>
      <w:pgMar w:top="1797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D44" w:rsidRDefault="000E6D44" w:rsidP="009B6FAC">
      <w:r>
        <w:separator/>
      </w:r>
    </w:p>
  </w:endnote>
  <w:endnote w:type="continuationSeparator" w:id="0">
    <w:p w:rsidR="000E6D44" w:rsidRDefault="000E6D44" w:rsidP="009B6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MS Mincho"/>
    <w:charset w:val="80"/>
    <w:family w:val="roman"/>
    <w:pitch w:val="default"/>
    <w:sig w:usb0="00000007" w:usb1="08070000" w:usb2="00000010" w:usb3="00000000" w:csb0="00020003" w:csb1="00000000"/>
  </w:font>
  <w:font w:name="TimesNewRomanPS-BoldMT">
    <w:altName w:val="MS Mincho"/>
    <w:charset w:val="80"/>
    <w:family w:val="auto"/>
    <w:pitch w:val="default"/>
    <w:sig w:usb0="00000005" w:usb1="08070000" w:usb2="00000010" w:usb3="00000000" w:csb0="00020002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3D" w:rsidRDefault="00B63A53">
    <w:pPr>
      <w:pStyle w:val="Zpat"/>
      <w:jc w:val="center"/>
    </w:pPr>
    <w:fldSimple w:instr=" PAGE   \* MERGEFORMAT ">
      <w:r w:rsidR="00256E88">
        <w:rPr>
          <w:noProof/>
        </w:rPr>
        <w:t>1</w:t>
      </w:r>
    </w:fldSimple>
  </w:p>
  <w:p w:rsidR="00901A3D" w:rsidRDefault="00901A3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D44" w:rsidRDefault="000E6D44" w:rsidP="009B6FAC">
      <w:r>
        <w:separator/>
      </w:r>
    </w:p>
  </w:footnote>
  <w:footnote w:type="continuationSeparator" w:id="0">
    <w:p w:rsidR="000E6D44" w:rsidRDefault="000E6D44" w:rsidP="009B6F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F5381"/>
    <w:rsid w:val="0000571E"/>
    <w:rsid w:val="00006AEB"/>
    <w:rsid w:val="00007AC4"/>
    <w:rsid w:val="00022094"/>
    <w:rsid w:val="000447D8"/>
    <w:rsid w:val="000457CB"/>
    <w:rsid w:val="000478C6"/>
    <w:rsid w:val="00055109"/>
    <w:rsid w:val="0005669E"/>
    <w:rsid w:val="0006664B"/>
    <w:rsid w:val="0007213F"/>
    <w:rsid w:val="000872D9"/>
    <w:rsid w:val="00094C0C"/>
    <w:rsid w:val="000B4510"/>
    <w:rsid w:val="000B6AB5"/>
    <w:rsid w:val="000C0431"/>
    <w:rsid w:val="000C6261"/>
    <w:rsid w:val="000D2609"/>
    <w:rsid w:val="000D28A7"/>
    <w:rsid w:val="000D5047"/>
    <w:rsid w:val="000E6D44"/>
    <w:rsid w:val="000E7AC4"/>
    <w:rsid w:val="000F100A"/>
    <w:rsid w:val="00100743"/>
    <w:rsid w:val="00101C7C"/>
    <w:rsid w:val="00103AE8"/>
    <w:rsid w:val="00106282"/>
    <w:rsid w:val="00111C29"/>
    <w:rsid w:val="001137E0"/>
    <w:rsid w:val="001145A8"/>
    <w:rsid w:val="00125DC0"/>
    <w:rsid w:val="001375C6"/>
    <w:rsid w:val="00143A67"/>
    <w:rsid w:val="00145FE1"/>
    <w:rsid w:val="001602A7"/>
    <w:rsid w:val="00161943"/>
    <w:rsid w:val="00164D00"/>
    <w:rsid w:val="00166499"/>
    <w:rsid w:val="00170B4E"/>
    <w:rsid w:val="00173D1E"/>
    <w:rsid w:val="00177877"/>
    <w:rsid w:val="00180F51"/>
    <w:rsid w:val="0018700D"/>
    <w:rsid w:val="00190087"/>
    <w:rsid w:val="00194E5D"/>
    <w:rsid w:val="001A4B1B"/>
    <w:rsid w:val="001A4BFC"/>
    <w:rsid w:val="001B0765"/>
    <w:rsid w:val="001B12ED"/>
    <w:rsid w:val="001B7D9F"/>
    <w:rsid w:val="001C00EC"/>
    <w:rsid w:val="001C0D9D"/>
    <w:rsid w:val="001D739C"/>
    <w:rsid w:val="001D7702"/>
    <w:rsid w:val="001E7ADD"/>
    <w:rsid w:val="0020340A"/>
    <w:rsid w:val="002044FB"/>
    <w:rsid w:val="00210C40"/>
    <w:rsid w:val="00212DC7"/>
    <w:rsid w:val="00223525"/>
    <w:rsid w:val="00223BE6"/>
    <w:rsid w:val="00225A75"/>
    <w:rsid w:val="00232E68"/>
    <w:rsid w:val="002371FE"/>
    <w:rsid w:val="00240FE5"/>
    <w:rsid w:val="00241083"/>
    <w:rsid w:val="0024475A"/>
    <w:rsid w:val="00256E88"/>
    <w:rsid w:val="00285173"/>
    <w:rsid w:val="0028704B"/>
    <w:rsid w:val="0029025A"/>
    <w:rsid w:val="00290D35"/>
    <w:rsid w:val="002A02DC"/>
    <w:rsid w:val="002A4B02"/>
    <w:rsid w:val="002A5E73"/>
    <w:rsid w:val="002B6CA2"/>
    <w:rsid w:val="002C138A"/>
    <w:rsid w:val="002C217D"/>
    <w:rsid w:val="002C689F"/>
    <w:rsid w:val="002D2955"/>
    <w:rsid w:val="00307275"/>
    <w:rsid w:val="003206F5"/>
    <w:rsid w:val="00326D22"/>
    <w:rsid w:val="003279CE"/>
    <w:rsid w:val="003327F9"/>
    <w:rsid w:val="00356857"/>
    <w:rsid w:val="0036078B"/>
    <w:rsid w:val="0037110D"/>
    <w:rsid w:val="003765B8"/>
    <w:rsid w:val="00383331"/>
    <w:rsid w:val="0038434C"/>
    <w:rsid w:val="003866E3"/>
    <w:rsid w:val="00390277"/>
    <w:rsid w:val="00390D44"/>
    <w:rsid w:val="0039250F"/>
    <w:rsid w:val="00392704"/>
    <w:rsid w:val="00392A0B"/>
    <w:rsid w:val="00393218"/>
    <w:rsid w:val="003976BD"/>
    <w:rsid w:val="003A7567"/>
    <w:rsid w:val="003B4A42"/>
    <w:rsid w:val="003C12F9"/>
    <w:rsid w:val="003D68C2"/>
    <w:rsid w:val="003D7C39"/>
    <w:rsid w:val="003E2AF7"/>
    <w:rsid w:val="003E39E6"/>
    <w:rsid w:val="00402D0D"/>
    <w:rsid w:val="00420A54"/>
    <w:rsid w:val="0042708A"/>
    <w:rsid w:val="00427456"/>
    <w:rsid w:val="0043258D"/>
    <w:rsid w:val="00434E6A"/>
    <w:rsid w:val="00437517"/>
    <w:rsid w:val="00437C98"/>
    <w:rsid w:val="004468CA"/>
    <w:rsid w:val="0045014C"/>
    <w:rsid w:val="0045165E"/>
    <w:rsid w:val="004551D6"/>
    <w:rsid w:val="00465442"/>
    <w:rsid w:val="0046703D"/>
    <w:rsid w:val="00472CFB"/>
    <w:rsid w:val="00473E23"/>
    <w:rsid w:val="00473F33"/>
    <w:rsid w:val="004760B6"/>
    <w:rsid w:val="00482780"/>
    <w:rsid w:val="004A092E"/>
    <w:rsid w:val="004A2A7F"/>
    <w:rsid w:val="004A3A95"/>
    <w:rsid w:val="004B4B17"/>
    <w:rsid w:val="004B595E"/>
    <w:rsid w:val="004B68D4"/>
    <w:rsid w:val="004C0FF4"/>
    <w:rsid w:val="004C17A0"/>
    <w:rsid w:val="004D5259"/>
    <w:rsid w:val="004D5DB0"/>
    <w:rsid w:val="004E4344"/>
    <w:rsid w:val="004E65A5"/>
    <w:rsid w:val="004F2772"/>
    <w:rsid w:val="00502B0D"/>
    <w:rsid w:val="005031BC"/>
    <w:rsid w:val="0050670E"/>
    <w:rsid w:val="00510259"/>
    <w:rsid w:val="00513873"/>
    <w:rsid w:val="00523CD9"/>
    <w:rsid w:val="00524C6D"/>
    <w:rsid w:val="00537EAC"/>
    <w:rsid w:val="00545607"/>
    <w:rsid w:val="005471C3"/>
    <w:rsid w:val="00556AC0"/>
    <w:rsid w:val="005578B7"/>
    <w:rsid w:val="0056081B"/>
    <w:rsid w:val="005739C1"/>
    <w:rsid w:val="00580DD2"/>
    <w:rsid w:val="005816EB"/>
    <w:rsid w:val="00582043"/>
    <w:rsid w:val="00587BCC"/>
    <w:rsid w:val="00594BA9"/>
    <w:rsid w:val="0059799C"/>
    <w:rsid w:val="005A6C4C"/>
    <w:rsid w:val="005A727B"/>
    <w:rsid w:val="005B14A0"/>
    <w:rsid w:val="005B3E14"/>
    <w:rsid w:val="005B693D"/>
    <w:rsid w:val="005D1028"/>
    <w:rsid w:val="005E0932"/>
    <w:rsid w:val="005E19E7"/>
    <w:rsid w:val="005E3CC0"/>
    <w:rsid w:val="005F6B79"/>
    <w:rsid w:val="005F6C62"/>
    <w:rsid w:val="00601296"/>
    <w:rsid w:val="00621987"/>
    <w:rsid w:val="00626F73"/>
    <w:rsid w:val="00636027"/>
    <w:rsid w:val="00647A01"/>
    <w:rsid w:val="00647FB3"/>
    <w:rsid w:val="00650E29"/>
    <w:rsid w:val="006572FF"/>
    <w:rsid w:val="00657BF5"/>
    <w:rsid w:val="00660BBF"/>
    <w:rsid w:val="00683E4C"/>
    <w:rsid w:val="00693DF8"/>
    <w:rsid w:val="006A00B6"/>
    <w:rsid w:val="006A5FFD"/>
    <w:rsid w:val="006B7AC7"/>
    <w:rsid w:val="006C3542"/>
    <w:rsid w:val="006C76AA"/>
    <w:rsid w:val="006D6678"/>
    <w:rsid w:val="006E5DAE"/>
    <w:rsid w:val="006E67DF"/>
    <w:rsid w:val="006E7602"/>
    <w:rsid w:val="006F2A04"/>
    <w:rsid w:val="006F2BE5"/>
    <w:rsid w:val="006F632C"/>
    <w:rsid w:val="00727F2B"/>
    <w:rsid w:val="0073492B"/>
    <w:rsid w:val="00735FF3"/>
    <w:rsid w:val="00742CED"/>
    <w:rsid w:val="00750169"/>
    <w:rsid w:val="00750C75"/>
    <w:rsid w:val="007545C3"/>
    <w:rsid w:val="007630F9"/>
    <w:rsid w:val="00765AD4"/>
    <w:rsid w:val="00770670"/>
    <w:rsid w:val="007709D8"/>
    <w:rsid w:val="00772801"/>
    <w:rsid w:val="0077319E"/>
    <w:rsid w:val="00792010"/>
    <w:rsid w:val="007B4645"/>
    <w:rsid w:val="007C233E"/>
    <w:rsid w:val="007C7788"/>
    <w:rsid w:val="007D7D5C"/>
    <w:rsid w:val="007F1FEA"/>
    <w:rsid w:val="0080243C"/>
    <w:rsid w:val="00811529"/>
    <w:rsid w:val="008173A5"/>
    <w:rsid w:val="00821662"/>
    <w:rsid w:val="0082535A"/>
    <w:rsid w:val="00825492"/>
    <w:rsid w:val="0082696B"/>
    <w:rsid w:val="00830C4A"/>
    <w:rsid w:val="008347F3"/>
    <w:rsid w:val="00835E3B"/>
    <w:rsid w:val="008577DB"/>
    <w:rsid w:val="00864AD6"/>
    <w:rsid w:val="008767CE"/>
    <w:rsid w:val="00882F21"/>
    <w:rsid w:val="00884E2F"/>
    <w:rsid w:val="00892185"/>
    <w:rsid w:val="008A054E"/>
    <w:rsid w:val="008A0730"/>
    <w:rsid w:val="008A29F3"/>
    <w:rsid w:val="008A4B6A"/>
    <w:rsid w:val="008B1E0E"/>
    <w:rsid w:val="008B7C92"/>
    <w:rsid w:val="008C1F43"/>
    <w:rsid w:val="008C2CB7"/>
    <w:rsid w:val="008C30C4"/>
    <w:rsid w:val="008C60E5"/>
    <w:rsid w:val="008D0495"/>
    <w:rsid w:val="008D0563"/>
    <w:rsid w:val="008D6D9A"/>
    <w:rsid w:val="008E3DCA"/>
    <w:rsid w:val="008E7368"/>
    <w:rsid w:val="00901A3D"/>
    <w:rsid w:val="00914D63"/>
    <w:rsid w:val="009351E6"/>
    <w:rsid w:val="0096099F"/>
    <w:rsid w:val="00963A8D"/>
    <w:rsid w:val="0096743E"/>
    <w:rsid w:val="0098710E"/>
    <w:rsid w:val="0099153B"/>
    <w:rsid w:val="009A63C7"/>
    <w:rsid w:val="009A6C6D"/>
    <w:rsid w:val="009B3DA4"/>
    <w:rsid w:val="009B4B20"/>
    <w:rsid w:val="009B6FAC"/>
    <w:rsid w:val="009C23C6"/>
    <w:rsid w:val="009D0E32"/>
    <w:rsid w:val="009D21F0"/>
    <w:rsid w:val="009D3392"/>
    <w:rsid w:val="009E3BBB"/>
    <w:rsid w:val="00A01E48"/>
    <w:rsid w:val="00A12F5D"/>
    <w:rsid w:val="00A13A8A"/>
    <w:rsid w:val="00A20B2D"/>
    <w:rsid w:val="00A222A2"/>
    <w:rsid w:val="00A32855"/>
    <w:rsid w:val="00A35C65"/>
    <w:rsid w:val="00A41BA5"/>
    <w:rsid w:val="00A44BCB"/>
    <w:rsid w:val="00A54FAE"/>
    <w:rsid w:val="00A564EA"/>
    <w:rsid w:val="00A60786"/>
    <w:rsid w:val="00A645E2"/>
    <w:rsid w:val="00A673FC"/>
    <w:rsid w:val="00A6765C"/>
    <w:rsid w:val="00A67898"/>
    <w:rsid w:val="00A71AE5"/>
    <w:rsid w:val="00A87138"/>
    <w:rsid w:val="00AB3251"/>
    <w:rsid w:val="00AB4BAF"/>
    <w:rsid w:val="00AB5481"/>
    <w:rsid w:val="00AB7F3A"/>
    <w:rsid w:val="00AC0371"/>
    <w:rsid w:val="00AC6598"/>
    <w:rsid w:val="00AD1A8B"/>
    <w:rsid w:val="00AD2762"/>
    <w:rsid w:val="00AE74B3"/>
    <w:rsid w:val="00AF4A5A"/>
    <w:rsid w:val="00AF55D6"/>
    <w:rsid w:val="00B073DA"/>
    <w:rsid w:val="00B232DE"/>
    <w:rsid w:val="00B376A0"/>
    <w:rsid w:val="00B42A7F"/>
    <w:rsid w:val="00B43688"/>
    <w:rsid w:val="00B440FD"/>
    <w:rsid w:val="00B575FB"/>
    <w:rsid w:val="00B57986"/>
    <w:rsid w:val="00B63A53"/>
    <w:rsid w:val="00B6470D"/>
    <w:rsid w:val="00B7171E"/>
    <w:rsid w:val="00B76437"/>
    <w:rsid w:val="00B77987"/>
    <w:rsid w:val="00B81426"/>
    <w:rsid w:val="00B94ACC"/>
    <w:rsid w:val="00B96CA9"/>
    <w:rsid w:val="00BB050C"/>
    <w:rsid w:val="00BC5000"/>
    <w:rsid w:val="00BD0B5A"/>
    <w:rsid w:val="00BF64D6"/>
    <w:rsid w:val="00BF6543"/>
    <w:rsid w:val="00C10348"/>
    <w:rsid w:val="00C13F3A"/>
    <w:rsid w:val="00C14378"/>
    <w:rsid w:val="00C22B69"/>
    <w:rsid w:val="00C236D5"/>
    <w:rsid w:val="00C27CFF"/>
    <w:rsid w:val="00C30BB7"/>
    <w:rsid w:val="00C334E3"/>
    <w:rsid w:val="00C40CA3"/>
    <w:rsid w:val="00C53AA9"/>
    <w:rsid w:val="00C565E2"/>
    <w:rsid w:val="00C60F56"/>
    <w:rsid w:val="00C63A20"/>
    <w:rsid w:val="00C64B7A"/>
    <w:rsid w:val="00C65486"/>
    <w:rsid w:val="00C82496"/>
    <w:rsid w:val="00C85F7D"/>
    <w:rsid w:val="00C91AEC"/>
    <w:rsid w:val="00CB305E"/>
    <w:rsid w:val="00CC0361"/>
    <w:rsid w:val="00CC2764"/>
    <w:rsid w:val="00CC6522"/>
    <w:rsid w:val="00CE667B"/>
    <w:rsid w:val="00CF5C46"/>
    <w:rsid w:val="00D00EFD"/>
    <w:rsid w:val="00D02109"/>
    <w:rsid w:val="00D06EBA"/>
    <w:rsid w:val="00D075E1"/>
    <w:rsid w:val="00D11D8F"/>
    <w:rsid w:val="00D13F9C"/>
    <w:rsid w:val="00D15C3F"/>
    <w:rsid w:val="00D17D9D"/>
    <w:rsid w:val="00D22A08"/>
    <w:rsid w:val="00D27E0F"/>
    <w:rsid w:val="00D46797"/>
    <w:rsid w:val="00D47BE9"/>
    <w:rsid w:val="00D70598"/>
    <w:rsid w:val="00D81010"/>
    <w:rsid w:val="00D8517F"/>
    <w:rsid w:val="00D868FE"/>
    <w:rsid w:val="00D91F9F"/>
    <w:rsid w:val="00D92B42"/>
    <w:rsid w:val="00DA76A7"/>
    <w:rsid w:val="00DB2508"/>
    <w:rsid w:val="00DB5A00"/>
    <w:rsid w:val="00DC0C80"/>
    <w:rsid w:val="00DC137F"/>
    <w:rsid w:val="00DC7EB7"/>
    <w:rsid w:val="00DD47AC"/>
    <w:rsid w:val="00DD6356"/>
    <w:rsid w:val="00DE430F"/>
    <w:rsid w:val="00DE735C"/>
    <w:rsid w:val="00DF5381"/>
    <w:rsid w:val="00E03BF4"/>
    <w:rsid w:val="00E32BA8"/>
    <w:rsid w:val="00E370A4"/>
    <w:rsid w:val="00E4441B"/>
    <w:rsid w:val="00E45ADC"/>
    <w:rsid w:val="00E4617C"/>
    <w:rsid w:val="00E53167"/>
    <w:rsid w:val="00E55C76"/>
    <w:rsid w:val="00E56313"/>
    <w:rsid w:val="00E6307B"/>
    <w:rsid w:val="00E6696D"/>
    <w:rsid w:val="00E67876"/>
    <w:rsid w:val="00E7064F"/>
    <w:rsid w:val="00E8576F"/>
    <w:rsid w:val="00E97666"/>
    <w:rsid w:val="00E97757"/>
    <w:rsid w:val="00EA27DD"/>
    <w:rsid w:val="00EA449A"/>
    <w:rsid w:val="00EC2E75"/>
    <w:rsid w:val="00EC38F8"/>
    <w:rsid w:val="00ED0497"/>
    <w:rsid w:val="00ED0CB5"/>
    <w:rsid w:val="00ED3227"/>
    <w:rsid w:val="00ED5DE8"/>
    <w:rsid w:val="00EE277D"/>
    <w:rsid w:val="00EF664E"/>
    <w:rsid w:val="00F04FB7"/>
    <w:rsid w:val="00F25151"/>
    <w:rsid w:val="00F36520"/>
    <w:rsid w:val="00F45141"/>
    <w:rsid w:val="00F4515F"/>
    <w:rsid w:val="00F47FFB"/>
    <w:rsid w:val="00F51358"/>
    <w:rsid w:val="00F53F15"/>
    <w:rsid w:val="00F552D4"/>
    <w:rsid w:val="00F55758"/>
    <w:rsid w:val="00F70267"/>
    <w:rsid w:val="00F7487F"/>
    <w:rsid w:val="00F778CC"/>
    <w:rsid w:val="00F94FED"/>
    <w:rsid w:val="00FA1CB9"/>
    <w:rsid w:val="00FC1C0A"/>
    <w:rsid w:val="00FD78AB"/>
    <w:rsid w:val="00FF2FE0"/>
    <w:rsid w:val="00FF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2708A"/>
    <w:pPr>
      <w:widowControl w:val="0"/>
      <w:suppressAutoHyphens/>
      <w:autoSpaceDE w:val="0"/>
    </w:pPr>
    <w:rPr>
      <w:sz w:val="24"/>
      <w:szCs w:val="24"/>
      <w:lang w:bidi="cs-CZ"/>
    </w:rPr>
  </w:style>
  <w:style w:type="paragraph" w:styleId="Nadpis1">
    <w:name w:val="heading 1"/>
    <w:basedOn w:val="Nadpis"/>
    <w:next w:val="Zkladntext"/>
    <w:qFormat/>
    <w:rsid w:val="0042708A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42708A"/>
  </w:style>
  <w:style w:type="character" w:customStyle="1" w:styleId="Absatz-Standardschriftart">
    <w:name w:val="Absatz-Standardschriftart"/>
    <w:rsid w:val="0042708A"/>
  </w:style>
  <w:style w:type="character" w:customStyle="1" w:styleId="WW-Absatz-Standardschriftart">
    <w:name w:val="WW-Absatz-Standardschriftart"/>
    <w:rsid w:val="0042708A"/>
  </w:style>
  <w:style w:type="character" w:customStyle="1" w:styleId="Standardnpsmoodstavce1">
    <w:name w:val="Standardní písmo odstavce1"/>
    <w:rsid w:val="0042708A"/>
  </w:style>
  <w:style w:type="character" w:customStyle="1" w:styleId="WW-Absatz-Standardschriftart1">
    <w:name w:val="WW-Absatz-Standardschriftart1"/>
    <w:rsid w:val="0042708A"/>
  </w:style>
  <w:style w:type="character" w:customStyle="1" w:styleId="Nadpis1Char">
    <w:name w:val="Nadpis 1 Char"/>
    <w:rsid w:val="0042708A"/>
    <w:rPr>
      <w:rFonts w:ascii="Arial" w:eastAsia="Arial Unicode MS" w:hAnsi="Arial" w:cs="Tahoma"/>
      <w:b/>
      <w:bCs/>
      <w:sz w:val="32"/>
      <w:szCs w:val="32"/>
      <w:lang w:eastAsia="cs-CZ" w:bidi="cs-CZ"/>
    </w:rPr>
  </w:style>
  <w:style w:type="paragraph" w:customStyle="1" w:styleId="Nadpis">
    <w:name w:val="Nadpis"/>
    <w:basedOn w:val="Normln"/>
    <w:next w:val="Zkladntext"/>
    <w:rsid w:val="0042708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rsid w:val="0042708A"/>
    <w:pPr>
      <w:spacing w:after="120"/>
    </w:pPr>
  </w:style>
  <w:style w:type="paragraph" w:styleId="Seznam">
    <w:name w:val="List"/>
    <w:basedOn w:val="Zkladntext"/>
    <w:rsid w:val="0042708A"/>
    <w:rPr>
      <w:rFonts w:cs="Tahoma"/>
    </w:rPr>
  </w:style>
  <w:style w:type="paragraph" w:customStyle="1" w:styleId="Popisek">
    <w:name w:val="Popisek"/>
    <w:basedOn w:val="Normln"/>
    <w:rsid w:val="0042708A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2708A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42708A"/>
    <w:pPr>
      <w:suppressLineNumbers/>
    </w:pPr>
  </w:style>
  <w:style w:type="paragraph" w:customStyle="1" w:styleId="Nadpistabulky">
    <w:name w:val="Nadpis tabulky"/>
    <w:basedOn w:val="Obsahtabulky"/>
    <w:rsid w:val="0042708A"/>
    <w:pPr>
      <w:jc w:val="center"/>
    </w:pPr>
    <w:rPr>
      <w:b/>
      <w:bCs/>
    </w:rPr>
  </w:style>
  <w:style w:type="paragraph" w:styleId="Textbubliny">
    <w:name w:val="Balloon Text"/>
    <w:basedOn w:val="Normln"/>
    <w:rsid w:val="0042708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57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">
    <w:name w:val="ČÁST"/>
    <w:basedOn w:val="Normln"/>
    <w:next w:val="Normln"/>
    <w:rsid w:val="00106282"/>
    <w:pPr>
      <w:keepNext/>
      <w:keepLines/>
      <w:widowControl/>
      <w:suppressAutoHyphens w:val="0"/>
      <w:autoSpaceDE/>
      <w:spacing w:before="240" w:after="120"/>
      <w:jc w:val="center"/>
      <w:outlineLvl w:val="1"/>
    </w:pPr>
    <w:rPr>
      <w:caps/>
      <w:szCs w:val="20"/>
      <w:lang w:bidi="ar-SA"/>
    </w:rPr>
  </w:style>
  <w:style w:type="paragraph" w:styleId="Zhlav">
    <w:name w:val="header"/>
    <w:basedOn w:val="Normln"/>
    <w:link w:val="ZhlavChar"/>
    <w:rsid w:val="009B6FA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B6FAC"/>
    <w:rPr>
      <w:sz w:val="24"/>
      <w:szCs w:val="24"/>
      <w:lang w:bidi="cs-CZ"/>
    </w:rPr>
  </w:style>
  <w:style w:type="paragraph" w:styleId="Zpat">
    <w:name w:val="footer"/>
    <w:basedOn w:val="Normln"/>
    <w:link w:val="ZpatChar"/>
    <w:uiPriority w:val="99"/>
    <w:rsid w:val="009B6FA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B6FAC"/>
    <w:rPr>
      <w:sz w:val="24"/>
      <w:szCs w:val="24"/>
      <w:lang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D9778-29A7-467B-940D-7D45419C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1241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VĚSTNÍK 1/2011</vt:lpstr>
    </vt:vector>
  </TitlesOfParts>
  <Company/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VĚSTNÍK 1/2011</dc:title>
  <dc:subject/>
  <dc:creator>pc</dc:creator>
  <cp:keywords/>
  <cp:lastModifiedBy>Fujitsu</cp:lastModifiedBy>
  <cp:revision>8</cp:revision>
  <cp:lastPrinted>2017-07-17T08:26:00Z</cp:lastPrinted>
  <dcterms:created xsi:type="dcterms:W3CDTF">2017-07-17T07:52:00Z</dcterms:created>
  <dcterms:modified xsi:type="dcterms:W3CDTF">2017-07-17T08:41:00Z</dcterms:modified>
</cp:coreProperties>
</file>